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A269D" w14:textId="77777777" w:rsidR="00D7761E" w:rsidRPr="00D7761E" w:rsidRDefault="00D7761E" w:rsidP="00D7761E">
      <w:pPr>
        <w:pBdr>
          <w:top w:val="nil"/>
          <w:left w:val="nil"/>
          <w:bottom w:val="nil"/>
          <w:right w:val="nil"/>
          <w:between w:val="nil"/>
        </w:pBdr>
        <w:spacing w:line="240" w:lineRule="auto"/>
        <w:rPr>
          <w:b/>
          <w:sz w:val="32"/>
          <w:szCs w:val="32"/>
          <w:u w:val="single"/>
        </w:rPr>
      </w:pPr>
      <w:r w:rsidRPr="00D7761E">
        <w:rPr>
          <w:b/>
          <w:sz w:val="32"/>
          <w:szCs w:val="32"/>
          <w:u w:val="single"/>
        </w:rPr>
        <w:t>Kapittel 16 Industri</w:t>
      </w:r>
    </w:p>
    <w:p w14:paraId="26881B79" w14:textId="37A0CC16" w:rsidR="00D7761E" w:rsidRPr="00721A7F" w:rsidRDefault="00721A7F" w:rsidP="00D7761E">
      <w:pPr>
        <w:spacing w:line="240" w:lineRule="auto"/>
        <w:rPr>
          <w:i/>
          <w:sz w:val="24"/>
          <w:szCs w:val="24"/>
          <w:lang w:val="nb-NO"/>
        </w:rPr>
      </w:pPr>
      <w:r>
        <w:rPr>
          <w:i/>
          <w:sz w:val="24"/>
          <w:szCs w:val="24"/>
          <w:lang w:val="nb-NO"/>
        </w:rPr>
        <w:t>Endelig oppdatert: 04</w:t>
      </w:r>
      <w:r w:rsidRPr="008C07DA">
        <w:rPr>
          <w:i/>
          <w:sz w:val="24"/>
          <w:szCs w:val="24"/>
          <w:lang w:val="nb-NO"/>
        </w:rPr>
        <w:t>.11.2020</w:t>
      </w:r>
      <w:bookmarkStart w:id="0" w:name="_GoBack"/>
      <w:bookmarkEnd w:id="0"/>
    </w:p>
    <w:p w14:paraId="4E92A60B" w14:textId="77777777" w:rsidR="00D7761E" w:rsidRPr="00D7761E" w:rsidRDefault="00D7761E" w:rsidP="00D7761E">
      <w:pPr>
        <w:spacing w:line="240" w:lineRule="auto"/>
        <w:rPr>
          <w:sz w:val="24"/>
          <w:szCs w:val="24"/>
        </w:rPr>
      </w:pPr>
    </w:p>
    <w:p w14:paraId="6AF8D537" w14:textId="77777777" w:rsidR="00D7761E" w:rsidRPr="00D7761E" w:rsidRDefault="00D7761E" w:rsidP="00D7761E">
      <w:pPr>
        <w:rPr>
          <w:b/>
          <w:i/>
          <w:sz w:val="24"/>
          <w:szCs w:val="24"/>
          <w:u w:val="single"/>
        </w:rPr>
      </w:pPr>
      <w:r w:rsidRPr="00D7761E">
        <w:rPr>
          <w:b/>
          <w:i/>
          <w:sz w:val="24"/>
          <w:szCs w:val="24"/>
          <w:u w:val="single"/>
        </w:rPr>
        <w:t>Oversikt over forslagene til dette kapitlet:</w:t>
      </w:r>
    </w:p>
    <w:p w14:paraId="67187FA3" w14:textId="77777777" w:rsidR="00D7761E" w:rsidRPr="00D7761E" w:rsidRDefault="00D7761E" w:rsidP="00D7761E">
      <w:pPr>
        <w:rPr>
          <w:b/>
          <w:i/>
          <w:sz w:val="24"/>
          <w:szCs w:val="24"/>
          <w:u w:val="single"/>
        </w:rPr>
      </w:pPr>
    </w:p>
    <w:tbl>
      <w:tblPr>
        <w:tblStyle w:val="Tabellrutenett"/>
        <w:tblW w:w="9322" w:type="dxa"/>
        <w:tblLook w:val="04A0" w:firstRow="1" w:lastRow="0" w:firstColumn="1" w:lastColumn="0" w:noHBand="0" w:noVBand="1"/>
      </w:tblPr>
      <w:tblGrid>
        <w:gridCol w:w="2231"/>
        <w:gridCol w:w="2180"/>
        <w:gridCol w:w="2456"/>
        <w:gridCol w:w="2455"/>
      </w:tblGrid>
      <w:tr w:rsidR="00D7761E" w:rsidRPr="00D7761E" w14:paraId="02157EA6" w14:textId="77777777" w:rsidTr="00987775">
        <w:tc>
          <w:tcPr>
            <w:tcW w:w="2231" w:type="dxa"/>
          </w:tcPr>
          <w:p w14:paraId="31E57658" w14:textId="77777777" w:rsidR="00D7761E" w:rsidRPr="00D7761E" w:rsidRDefault="00D7761E" w:rsidP="003027D9">
            <w:pPr>
              <w:jc w:val="center"/>
              <w:rPr>
                <w:b/>
                <w:sz w:val="24"/>
                <w:szCs w:val="24"/>
                <w:lang w:val="nb-NO"/>
              </w:rPr>
            </w:pPr>
            <w:r w:rsidRPr="00D7761E">
              <w:rPr>
                <w:b/>
                <w:sz w:val="24"/>
                <w:szCs w:val="24"/>
                <w:lang w:val="nb-NO"/>
              </w:rPr>
              <w:t>Kapittel</w:t>
            </w:r>
          </w:p>
        </w:tc>
        <w:tc>
          <w:tcPr>
            <w:tcW w:w="2180" w:type="dxa"/>
          </w:tcPr>
          <w:p w14:paraId="4AF9D78C" w14:textId="77777777" w:rsidR="00D7761E" w:rsidRPr="00D7761E" w:rsidRDefault="00D7761E" w:rsidP="003027D9">
            <w:pPr>
              <w:jc w:val="center"/>
              <w:rPr>
                <w:b/>
                <w:sz w:val="24"/>
                <w:szCs w:val="24"/>
                <w:lang w:val="nb-NO"/>
              </w:rPr>
            </w:pPr>
            <w:r w:rsidRPr="00D7761E">
              <w:rPr>
                <w:b/>
                <w:sz w:val="24"/>
                <w:szCs w:val="24"/>
                <w:lang w:val="nb-NO"/>
              </w:rPr>
              <w:t>Punkt</w:t>
            </w:r>
          </w:p>
        </w:tc>
        <w:tc>
          <w:tcPr>
            <w:tcW w:w="2456" w:type="dxa"/>
          </w:tcPr>
          <w:p w14:paraId="6DCEFDEF" w14:textId="77777777" w:rsidR="00D7761E" w:rsidRPr="00D7761E" w:rsidRDefault="00D7761E" w:rsidP="003027D9">
            <w:pPr>
              <w:jc w:val="center"/>
              <w:rPr>
                <w:b/>
                <w:sz w:val="24"/>
                <w:szCs w:val="24"/>
                <w:lang w:val="nb-NO"/>
              </w:rPr>
            </w:pPr>
            <w:r w:rsidRPr="00D7761E">
              <w:rPr>
                <w:b/>
                <w:sz w:val="24"/>
                <w:szCs w:val="24"/>
                <w:lang w:val="nb-NO"/>
              </w:rPr>
              <w:t>Linjenr</w:t>
            </w:r>
          </w:p>
        </w:tc>
        <w:tc>
          <w:tcPr>
            <w:tcW w:w="2455" w:type="dxa"/>
          </w:tcPr>
          <w:p w14:paraId="38F09F21" w14:textId="77777777" w:rsidR="00D7761E" w:rsidRPr="00D7761E" w:rsidRDefault="00D7761E" w:rsidP="003027D9">
            <w:pPr>
              <w:jc w:val="center"/>
              <w:rPr>
                <w:b/>
                <w:sz w:val="24"/>
                <w:szCs w:val="24"/>
                <w:lang w:val="nb-NO"/>
              </w:rPr>
            </w:pPr>
            <w:r w:rsidRPr="00D7761E">
              <w:rPr>
                <w:b/>
                <w:sz w:val="24"/>
                <w:szCs w:val="24"/>
                <w:lang w:val="nb-NO"/>
              </w:rPr>
              <w:t>Type forslag</w:t>
            </w:r>
          </w:p>
        </w:tc>
      </w:tr>
      <w:tr w:rsidR="00D7761E" w:rsidRPr="00D7761E" w14:paraId="307567EA" w14:textId="77777777" w:rsidTr="00987775">
        <w:tc>
          <w:tcPr>
            <w:tcW w:w="2231" w:type="dxa"/>
          </w:tcPr>
          <w:p w14:paraId="0DA848A0" w14:textId="77777777" w:rsidR="00D7761E" w:rsidRPr="00D7761E" w:rsidRDefault="00D7761E" w:rsidP="003027D9">
            <w:pPr>
              <w:jc w:val="center"/>
              <w:rPr>
                <w:b/>
                <w:sz w:val="24"/>
                <w:szCs w:val="24"/>
                <w:lang w:val="nb-NO"/>
              </w:rPr>
            </w:pPr>
            <w:r w:rsidRPr="00D7761E">
              <w:rPr>
                <w:b/>
                <w:sz w:val="24"/>
                <w:szCs w:val="24"/>
              </w:rPr>
              <w:t>16 Industri</w:t>
            </w:r>
          </w:p>
        </w:tc>
        <w:tc>
          <w:tcPr>
            <w:tcW w:w="2180" w:type="dxa"/>
          </w:tcPr>
          <w:p w14:paraId="0BF6DCF3" w14:textId="77777777" w:rsidR="00D7761E" w:rsidRPr="00D7761E" w:rsidRDefault="00D7761E" w:rsidP="003027D9">
            <w:pPr>
              <w:jc w:val="center"/>
              <w:rPr>
                <w:sz w:val="24"/>
                <w:szCs w:val="24"/>
                <w:lang w:val="nb-NO"/>
              </w:rPr>
            </w:pPr>
            <w:r w:rsidRPr="00D7761E">
              <w:rPr>
                <w:sz w:val="24"/>
                <w:szCs w:val="24"/>
              </w:rPr>
              <w:t>16.6 b</w:t>
            </w:r>
          </w:p>
        </w:tc>
        <w:tc>
          <w:tcPr>
            <w:tcW w:w="2456" w:type="dxa"/>
          </w:tcPr>
          <w:p w14:paraId="188710F3" w14:textId="77777777" w:rsidR="00D7761E" w:rsidRPr="00D7761E" w:rsidRDefault="00D7761E" w:rsidP="003027D9">
            <w:pPr>
              <w:jc w:val="center"/>
              <w:rPr>
                <w:sz w:val="24"/>
                <w:szCs w:val="24"/>
                <w:lang w:val="nb-NO"/>
              </w:rPr>
            </w:pPr>
            <w:r w:rsidRPr="00D7761E">
              <w:rPr>
                <w:sz w:val="24"/>
                <w:szCs w:val="24"/>
              </w:rPr>
              <w:t>1763</w:t>
            </w:r>
          </w:p>
        </w:tc>
        <w:tc>
          <w:tcPr>
            <w:tcW w:w="2455" w:type="dxa"/>
          </w:tcPr>
          <w:p w14:paraId="10A1F660" w14:textId="77777777" w:rsidR="00D7761E" w:rsidRPr="00D7761E" w:rsidRDefault="00D7761E" w:rsidP="003027D9">
            <w:pPr>
              <w:jc w:val="center"/>
              <w:rPr>
                <w:sz w:val="24"/>
                <w:szCs w:val="24"/>
              </w:rPr>
            </w:pPr>
            <w:r w:rsidRPr="00D7761E">
              <w:rPr>
                <w:sz w:val="24"/>
                <w:szCs w:val="24"/>
              </w:rPr>
              <w:t>Endring</w:t>
            </w:r>
          </w:p>
        </w:tc>
      </w:tr>
      <w:tr w:rsidR="00D7761E" w:rsidRPr="00D7761E" w14:paraId="786761DA" w14:textId="77777777" w:rsidTr="00987775">
        <w:tc>
          <w:tcPr>
            <w:tcW w:w="2231" w:type="dxa"/>
          </w:tcPr>
          <w:p w14:paraId="232047D6" w14:textId="77777777" w:rsidR="00D7761E" w:rsidRPr="00D7761E" w:rsidRDefault="00D7761E" w:rsidP="003027D9">
            <w:pPr>
              <w:jc w:val="center"/>
              <w:rPr>
                <w:b/>
                <w:sz w:val="24"/>
                <w:szCs w:val="24"/>
                <w:u w:val="single"/>
                <w:lang w:val="nb-NO"/>
              </w:rPr>
            </w:pPr>
          </w:p>
        </w:tc>
        <w:tc>
          <w:tcPr>
            <w:tcW w:w="2180" w:type="dxa"/>
          </w:tcPr>
          <w:p w14:paraId="2870AFB1" w14:textId="77777777" w:rsidR="00D7761E" w:rsidRPr="00D7761E" w:rsidRDefault="00D7761E" w:rsidP="003027D9">
            <w:pPr>
              <w:jc w:val="center"/>
              <w:rPr>
                <w:b/>
                <w:sz w:val="24"/>
                <w:szCs w:val="24"/>
                <w:u w:val="single"/>
                <w:lang w:val="nb-NO"/>
              </w:rPr>
            </w:pPr>
          </w:p>
        </w:tc>
        <w:tc>
          <w:tcPr>
            <w:tcW w:w="2456" w:type="dxa"/>
          </w:tcPr>
          <w:p w14:paraId="0610CFB4" w14:textId="77777777" w:rsidR="00D7761E" w:rsidRPr="00D7761E" w:rsidRDefault="00D7761E" w:rsidP="003027D9">
            <w:pPr>
              <w:jc w:val="center"/>
              <w:rPr>
                <w:b/>
                <w:sz w:val="24"/>
                <w:szCs w:val="24"/>
                <w:u w:val="single"/>
                <w:lang w:val="nb-NO"/>
              </w:rPr>
            </w:pPr>
          </w:p>
        </w:tc>
        <w:tc>
          <w:tcPr>
            <w:tcW w:w="2455" w:type="dxa"/>
          </w:tcPr>
          <w:p w14:paraId="4DFCDAEC" w14:textId="77777777" w:rsidR="00D7761E" w:rsidRPr="00D7761E" w:rsidRDefault="00D7761E" w:rsidP="003027D9">
            <w:pPr>
              <w:jc w:val="center"/>
              <w:rPr>
                <w:b/>
                <w:sz w:val="24"/>
                <w:szCs w:val="24"/>
                <w:u w:val="single"/>
                <w:lang w:val="nb-NO"/>
              </w:rPr>
            </w:pPr>
          </w:p>
        </w:tc>
      </w:tr>
    </w:tbl>
    <w:p w14:paraId="3121EB65" w14:textId="77777777" w:rsidR="00D7761E" w:rsidRPr="00D7761E" w:rsidRDefault="00D7761E" w:rsidP="00D7761E">
      <w:pPr>
        <w:spacing w:line="240" w:lineRule="auto"/>
        <w:rPr>
          <w:sz w:val="24"/>
          <w:szCs w:val="24"/>
        </w:rPr>
      </w:pPr>
    </w:p>
    <w:p w14:paraId="7D505DA0" w14:textId="77777777" w:rsidR="00D7761E" w:rsidRPr="00D7761E" w:rsidRDefault="00D7761E" w:rsidP="00D7761E">
      <w:pPr>
        <w:spacing w:line="240" w:lineRule="auto"/>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3"/>
        <w:gridCol w:w="5007"/>
      </w:tblGrid>
      <w:tr w:rsidR="00D7761E" w:rsidRPr="00D7761E" w14:paraId="4EE722D7" w14:textId="77777777" w:rsidTr="001F1060">
        <w:tc>
          <w:tcPr>
            <w:tcW w:w="4353" w:type="dxa"/>
            <w:shd w:val="clear" w:color="auto" w:fill="auto"/>
            <w:tcMar>
              <w:top w:w="100" w:type="dxa"/>
              <w:left w:w="100" w:type="dxa"/>
              <w:bottom w:w="100" w:type="dxa"/>
              <w:right w:w="100" w:type="dxa"/>
            </w:tcMar>
          </w:tcPr>
          <w:p w14:paraId="0F24BE76" w14:textId="77777777" w:rsidR="00D7761E" w:rsidRPr="00D7761E" w:rsidRDefault="00D7761E" w:rsidP="00987775">
            <w:pPr>
              <w:widowControl w:val="0"/>
              <w:spacing w:line="240" w:lineRule="auto"/>
              <w:rPr>
                <w:b/>
                <w:sz w:val="24"/>
                <w:szCs w:val="24"/>
              </w:rPr>
            </w:pPr>
            <w:r w:rsidRPr="00D7761E">
              <w:rPr>
                <w:b/>
                <w:sz w:val="24"/>
                <w:szCs w:val="24"/>
              </w:rPr>
              <w:t xml:space="preserve">Type forslag: </w:t>
            </w:r>
            <w:r w:rsidRPr="00D7761E">
              <w:rPr>
                <w:sz w:val="24"/>
                <w:szCs w:val="24"/>
              </w:rPr>
              <w:t>Endring</w:t>
            </w:r>
          </w:p>
        </w:tc>
        <w:tc>
          <w:tcPr>
            <w:tcW w:w="5007" w:type="dxa"/>
            <w:shd w:val="clear" w:color="auto" w:fill="auto"/>
            <w:tcMar>
              <w:top w:w="100" w:type="dxa"/>
              <w:left w:w="100" w:type="dxa"/>
              <w:bottom w:w="100" w:type="dxa"/>
              <w:right w:w="100" w:type="dxa"/>
            </w:tcMar>
          </w:tcPr>
          <w:p w14:paraId="0FAB67BF" w14:textId="77777777" w:rsidR="001F1060" w:rsidRPr="004937FA" w:rsidRDefault="001F1060" w:rsidP="001F1060">
            <w:pPr>
              <w:spacing w:line="240" w:lineRule="auto"/>
              <w:rPr>
                <w:b/>
                <w:sz w:val="24"/>
                <w:szCs w:val="24"/>
                <w:lang w:val="nb-NO"/>
              </w:rPr>
            </w:pPr>
            <w:r w:rsidRPr="004937FA">
              <w:rPr>
                <w:b/>
                <w:sz w:val="24"/>
                <w:szCs w:val="24"/>
                <w:lang w:val="nb-NO"/>
              </w:rPr>
              <w:t xml:space="preserve">Forslagsstiller: Hjalmar Kolsaker </w:t>
            </w:r>
          </w:p>
          <w:p w14:paraId="3DB7CAAD" w14:textId="77777777" w:rsidR="00D7761E" w:rsidRPr="001F1060" w:rsidRDefault="001F1060" w:rsidP="001F1060">
            <w:pPr>
              <w:widowControl w:val="0"/>
              <w:spacing w:line="240" w:lineRule="auto"/>
              <w:rPr>
                <w:sz w:val="24"/>
                <w:szCs w:val="24"/>
                <w:lang w:val="nb-NO"/>
              </w:rPr>
            </w:pPr>
            <w:r w:rsidRPr="001F1060">
              <w:rPr>
                <w:sz w:val="24"/>
                <w:szCs w:val="24"/>
                <w:lang w:val="nb-NO"/>
              </w:rPr>
              <w:t>/ Rødt Oslos miljø- og samferdselsutvalg</w:t>
            </w:r>
          </w:p>
        </w:tc>
      </w:tr>
      <w:tr w:rsidR="00D7761E" w:rsidRPr="001F1060" w14:paraId="404A1739" w14:textId="77777777" w:rsidTr="001F1060">
        <w:tc>
          <w:tcPr>
            <w:tcW w:w="4353" w:type="dxa"/>
            <w:shd w:val="clear" w:color="auto" w:fill="auto"/>
            <w:tcMar>
              <w:top w:w="100" w:type="dxa"/>
              <w:left w:w="100" w:type="dxa"/>
              <w:bottom w:w="100" w:type="dxa"/>
              <w:right w:w="100" w:type="dxa"/>
            </w:tcMar>
          </w:tcPr>
          <w:p w14:paraId="143083B3" w14:textId="77777777" w:rsidR="00D7761E" w:rsidRPr="001F1060" w:rsidRDefault="00D7761E" w:rsidP="00987775">
            <w:pPr>
              <w:widowControl w:val="0"/>
              <w:spacing w:line="240" w:lineRule="auto"/>
              <w:rPr>
                <w:sz w:val="24"/>
                <w:szCs w:val="24"/>
              </w:rPr>
            </w:pPr>
            <w:r w:rsidRPr="001F1060">
              <w:rPr>
                <w:b/>
                <w:sz w:val="24"/>
                <w:szCs w:val="24"/>
              </w:rPr>
              <w:t xml:space="preserve">Kapittel: </w:t>
            </w:r>
            <w:r w:rsidRPr="001F1060">
              <w:rPr>
                <w:sz w:val="24"/>
                <w:szCs w:val="24"/>
              </w:rPr>
              <w:t>16</w:t>
            </w:r>
          </w:p>
        </w:tc>
        <w:tc>
          <w:tcPr>
            <w:tcW w:w="5007" w:type="dxa"/>
            <w:shd w:val="clear" w:color="auto" w:fill="auto"/>
            <w:tcMar>
              <w:top w:w="100" w:type="dxa"/>
              <w:left w:w="100" w:type="dxa"/>
              <w:bottom w:w="100" w:type="dxa"/>
              <w:right w:w="100" w:type="dxa"/>
            </w:tcMar>
          </w:tcPr>
          <w:p w14:paraId="24392B97" w14:textId="77777777" w:rsidR="00D7761E" w:rsidRPr="001F1060" w:rsidRDefault="00D7761E" w:rsidP="00987775">
            <w:pPr>
              <w:widowControl w:val="0"/>
              <w:spacing w:line="240" w:lineRule="auto"/>
              <w:rPr>
                <w:sz w:val="24"/>
                <w:szCs w:val="24"/>
              </w:rPr>
            </w:pPr>
            <w:r w:rsidRPr="001F1060">
              <w:rPr>
                <w:b/>
                <w:sz w:val="24"/>
                <w:szCs w:val="24"/>
              </w:rPr>
              <w:t xml:space="preserve">Punkt: </w:t>
            </w:r>
            <w:r w:rsidRPr="001F1060">
              <w:rPr>
                <w:sz w:val="24"/>
                <w:szCs w:val="24"/>
              </w:rPr>
              <w:t>16.6 b</w:t>
            </w:r>
            <w:r w:rsidR="001F1060" w:rsidRPr="001F1060">
              <w:rPr>
                <w:sz w:val="24"/>
                <w:szCs w:val="24"/>
              </w:rPr>
              <w:t xml:space="preserve"> </w:t>
            </w:r>
            <w:r w:rsidR="001F1060" w:rsidRPr="001F1060">
              <w:rPr>
                <w:rFonts w:ascii="Helvetica" w:eastAsiaTheme="minorEastAsia" w:hAnsi="Helvetica" w:cs="Helvetica"/>
                <w:b/>
                <w:bCs/>
                <w:sz w:val="24"/>
                <w:szCs w:val="24"/>
                <w:lang w:val="en-US" w:eastAsia="nb-NO"/>
              </w:rPr>
              <w:t>Nye industriprosjekter</w:t>
            </w:r>
          </w:p>
        </w:tc>
      </w:tr>
      <w:tr w:rsidR="00D7761E" w:rsidRPr="00D7761E" w14:paraId="14927563" w14:textId="77777777" w:rsidTr="001F1060">
        <w:tc>
          <w:tcPr>
            <w:tcW w:w="4353" w:type="dxa"/>
            <w:shd w:val="clear" w:color="auto" w:fill="auto"/>
            <w:tcMar>
              <w:top w:w="100" w:type="dxa"/>
              <w:left w:w="100" w:type="dxa"/>
              <w:bottom w:w="100" w:type="dxa"/>
              <w:right w:w="100" w:type="dxa"/>
            </w:tcMar>
          </w:tcPr>
          <w:p w14:paraId="7569B79A" w14:textId="77777777" w:rsidR="00D7761E" w:rsidRPr="00D7761E" w:rsidRDefault="00D7761E" w:rsidP="00987775">
            <w:pPr>
              <w:widowControl w:val="0"/>
              <w:spacing w:line="240" w:lineRule="auto"/>
              <w:rPr>
                <w:sz w:val="24"/>
                <w:szCs w:val="24"/>
              </w:rPr>
            </w:pPr>
            <w:r w:rsidRPr="00D7761E">
              <w:rPr>
                <w:b/>
                <w:sz w:val="24"/>
                <w:szCs w:val="24"/>
              </w:rPr>
              <w:t xml:space="preserve">Linjenummer: </w:t>
            </w:r>
            <w:r w:rsidRPr="00D7761E">
              <w:rPr>
                <w:sz w:val="24"/>
                <w:szCs w:val="24"/>
              </w:rPr>
              <w:t>1763</w:t>
            </w:r>
          </w:p>
        </w:tc>
        <w:tc>
          <w:tcPr>
            <w:tcW w:w="5007" w:type="dxa"/>
            <w:shd w:val="clear" w:color="auto" w:fill="auto"/>
            <w:tcMar>
              <w:top w:w="100" w:type="dxa"/>
              <w:left w:w="100" w:type="dxa"/>
              <w:bottom w:w="100" w:type="dxa"/>
              <w:right w:w="100" w:type="dxa"/>
            </w:tcMar>
          </w:tcPr>
          <w:p w14:paraId="73B57D3D" w14:textId="77777777" w:rsidR="00D7761E" w:rsidRPr="00D7761E" w:rsidRDefault="00D7761E" w:rsidP="00987775">
            <w:pPr>
              <w:widowControl w:val="0"/>
              <w:spacing w:line="240" w:lineRule="auto"/>
              <w:rPr>
                <w:b/>
                <w:sz w:val="24"/>
                <w:szCs w:val="24"/>
              </w:rPr>
            </w:pPr>
          </w:p>
        </w:tc>
      </w:tr>
      <w:tr w:rsidR="00D7761E" w:rsidRPr="00D7761E" w14:paraId="6A03CF6B" w14:textId="77777777" w:rsidTr="00987775">
        <w:trPr>
          <w:trHeight w:val="480"/>
        </w:trPr>
        <w:tc>
          <w:tcPr>
            <w:tcW w:w="9360" w:type="dxa"/>
            <w:gridSpan w:val="2"/>
            <w:shd w:val="clear" w:color="auto" w:fill="auto"/>
            <w:tcMar>
              <w:top w:w="100" w:type="dxa"/>
              <w:left w:w="100" w:type="dxa"/>
              <w:bottom w:w="100" w:type="dxa"/>
              <w:right w:w="100" w:type="dxa"/>
            </w:tcMar>
          </w:tcPr>
          <w:p w14:paraId="51AE23EA" w14:textId="77777777" w:rsidR="001F1060" w:rsidRDefault="00D7761E" w:rsidP="00987775">
            <w:pPr>
              <w:widowControl w:val="0"/>
              <w:spacing w:line="240" w:lineRule="auto"/>
              <w:rPr>
                <w:b/>
                <w:sz w:val="24"/>
                <w:szCs w:val="24"/>
                <w:lang w:val="nb-NO"/>
              </w:rPr>
            </w:pPr>
            <w:r w:rsidRPr="00D7761E">
              <w:rPr>
                <w:b/>
                <w:sz w:val="24"/>
                <w:szCs w:val="24"/>
                <w:lang w:val="nb-NO"/>
              </w:rPr>
              <w:t xml:space="preserve">Opprinnelig punkt: </w:t>
            </w:r>
          </w:p>
          <w:p w14:paraId="20A4B6C1" w14:textId="77777777" w:rsidR="00D7761E" w:rsidRPr="00D7761E" w:rsidRDefault="001F1060" w:rsidP="00987775">
            <w:pPr>
              <w:widowControl w:val="0"/>
              <w:spacing w:line="240" w:lineRule="auto"/>
              <w:rPr>
                <w:sz w:val="24"/>
                <w:szCs w:val="24"/>
                <w:lang w:val="nb-NO"/>
              </w:rPr>
            </w:pPr>
            <w:r>
              <w:rPr>
                <w:b/>
                <w:sz w:val="24"/>
                <w:szCs w:val="24"/>
                <w:lang w:val="nb-NO"/>
              </w:rPr>
              <w:t xml:space="preserve">b) </w:t>
            </w:r>
            <w:r w:rsidR="00D7761E" w:rsidRPr="00D7761E">
              <w:rPr>
                <w:sz w:val="24"/>
                <w:szCs w:val="24"/>
                <w:lang w:val="nb-NO"/>
              </w:rPr>
              <w:t>Energiproduksjonen skal utelukkende brukes hjemme og ikke eksporteres, og det stilles strenge krav til miljø- og fiskerihensyn før konsesjon for utbygging gis.</w:t>
            </w:r>
          </w:p>
        </w:tc>
      </w:tr>
      <w:tr w:rsidR="00D7761E" w:rsidRPr="00D7761E" w14:paraId="41DC5569" w14:textId="77777777" w:rsidTr="00987775">
        <w:trPr>
          <w:trHeight w:val="480"/>
        </w:trPr>
        <w:tc>
          <w:tcPr>
            <w:tcW w:w="9360" w:type="dxa"/>
            <w:gridSpan w:val="2"/>
            <w:shd w:val="clear" w:color="auto" w:fill="auto"/>
            <w:tcMar>
              <w:top w:w="100" w:type="dxa"/>
              <w:left w:w="100" w:type="dxa"/>
              <w:bottom w:w="100" w:type="dxa"/>
              <w:right w:w="100" w:type="dxa"/>
            </w:tcMar>
          </w:tcPr>
          <w:p w14:paraId="2F393CC0" w14:textId="77777777" w:rsidR="00D7761E" w:rsidRPr="00D7761E" w:rsidRDefault="00D7761E" w:rsidP="00987775">
            <w:pPr>
              <w:widowControl w:val="0"/>
              <w:spacing w:line="240" w:lineRule="auto"/>
              <w:rPr>
                <w:sz w:val="24"/>
                <w:szCs w:val="24"/>
                <w:lang w:val="nb-NO"/>
              </w:rPr>
            </w:pPr>
            <w:r w:rsidRPr="00D7761E">
              <w:rPr>
                <w:b/>
                <w:sz w:val="24"/>
                <w:szCs w:val="24"/>
                <w:lang w:val="nb-NO"/>
              </w:rPr>
              <w:t xml:space="preserve">Nytt punkt: </w:t>
            </w:r>
            <w:r w:rsidRPr="00D7761E">
              <w:rPr>
                <w:sz w:val="24"/>
                <w:szCs w:val="24"/>
                <w:lang w:val="nb-NO"/>
              </w:rPr>
              <w:t>Det skal stilles strenge krav til miljø- og fiskerihensyn før konsesjon for utbygging gis.</w:t>
            </w:r>
          </w:p>
        </w:tc>
      </w:tr>
      <w:tr w:rsidR="00D7761E" w:rsidRPr="00D7761E" w14:paraId="3907F6A2" w14:textId="77777777" w:rsidTr="00987775">
        <w:trPr>
          <w:trHeight w:val="480"/>
        </w:trPr>
        <w:tc>
          <w:tcPr>
            <w:tcW w:w="9360" w:type="dxa"/>
            <w:gridSpan w:val="2"/>
            <w:shd w:val="clear" w:color="auto" w:fill="auto"/>
            <w:tcMar>
              <w:top w:w="100" w:type="dxa"/>
              <w:left w:w="100" w:type="dxa"/>
              <w:bottom w:w="100" w:type="dxa"/>
              <w:right w:w="100" w:type="dxa"/>
            </w:tcMar>
          </w:tcPr>
          <w:p w14:paraId="3CC577CF" w14:textId="77777777" w:rsidR="00D7761E" w:rsidRPr="00D7761E" w:rsidRDefault="00D7761E" w:rsidP="00987775">
            <w:pPr>
              <w:widowControl w:val="0"/>
              <w:spacing w:line="240" w:lineRule="auto"/>
              <w:rPr>
                <w:sz w:val="24"/>
                <w:szCs w:val="24"/>
                <w:lang w:val="nb-NO"/>
              </w:rPr>
            </w:pPr>
            <w:r w:rsidRPr="00D7761E">
              <w:rPr>
                <w:b/>
                <w:sz w:val="24"/>
                <w:szCs w:val="24"/>
                <w:lang w:val="nb-NO"/>
              </w:rPr>
              <w:t xml:space="preserve">Begrunnelse: </w:t>
            </w:r>
            <w:r w:rsidRPr="00D7761E">
              <w:rPr>
                <w:sz w:val="24"/>
                <w:szCs w:val="24"/>
                <w:lang w:val="nb-NO"/>
              </w:rPr>
              <w:t xml:space="preserve">Vi bør ikke kategorisk utelukke alt salg av norsk kraft til utlandet. </w:t>
            </w:r>
          </w:p>
          <w:p w14:paraId="7E9211CB" w14:textId="77777777" w:rsidR="00D7761E" w:rsidRPr="00D7761E" w:rsidRDefault="00D7761E" w:rsidP="00987775">
            <w:pPr>
              <w:widowControl w:val="0"/>
              <w:spacing w:line="240" w:lineRule="auto"/>
              <w:rPr>
                <w:sz w:val="24"/>
                <w:szCs w:val="24"/>
                <w:lang w:val="nb-NO"/>
              </w:rPr>
            </w:pPr>
            <w:r w:rsidRPr="00D7761E">
              <w:rPr>
                <w:sz w:val="24"/>
                <w:szCs w:val="24"/>
                <w:lang w:val="nb-NO"/>
              </w:rPr>
              <w:t xml:space="preserve">I punkt 18k under har vi lagt til en endring om at vi vil si nei til bygging av private overføringslinjer for eksport av kraft. Vi vil ikke si kategorisk nei til all eksport via alle typer alle overføringslinjer. </w:t>
            </w:r>
          </w:p>
          <w:p w14:paraId="44C19188" w14:textId="77777777" w:rsidR="00D7761E" w:rsidRPr="00D7761E" w:rsidRDefault="00D7761E" w:rsidP="00987775">
            <w:pPr>
              <w:widowControl w:val="0"/>
              <w:spacing w:line="240" w:lineRule="auto"/>
              <w:rPr>
                <w:sz w:val="24"/>
                <w:szCs w:val="24"/>
                <w:lang w:val="nb-NO"/>
              </w:rPr>
            </w:pPr>
          </w:p>
          <w:p w14:paraId="50F8E0C0" w14:textId="77777777" w:rsidR="00D7761E" w:rsidRPr="00D7761E" w:rsidRDefault="00D7761E" w:rsidP="00987775">
            <w:pPr>
              <w:widowControl w:val="0"/>
              <w:spacing w:line="240" w:lineRule="auto"/>
              <w:rPr>
                <w:sz w:val="24"/>
                <w:szCs w:val="24"/>
                <w:lang w:val="nb-NO"/>
              </w:rPr>
            </w:pPr>
            <w:r w:rsidRPr="00D7761E">
              <w:rPr>
                <w:sz w:val="24"/>
                <w:szCs w:val="24"/>
                <w:lang w:val="nb-NO"/>
              </w:rPr>
              <w:t>Strøm er et energiprodukt som kan produseres billig i Norge fordi vi har rikelig med naturlige vannkraftressurser. Olje og gass er også energiprodukter som vi kan utvinne med høy lønnsomhet på grunn av naturlige forekomster av ressursene på kontinentalsokkelen. For energiproduktet strøm har programkomiteen foreslått at Rødt skal forby eksport utover dagens nivå, mens for energiproduktene olje og gass vil det fortsatt være tillatt med økt eksport. Dette standpunktet er helt absurd.</w:t>
            </w:r>
          </w:p>
          <w:p w14:paraId="76D3177D" w14:textId="77777777" w:rsidR="00D7761E" w:rsidRPr="00D7761E" w:rsidRDefault="00D7761E" w:rsidP="00987775">
            <w:pPr>
              <w:widowControl w:val="0"/>
              <w:spacing w:line="240" w:lineRule="auto"/>
              <w:rPr>
                <w:sz w:val="24"/>
                <w:szCs w:val="24"/>
                <w:lang w:val="nb-NO"/>
              </w:rPr>
            </w:pPr>
          </w:p>
          <w:p w14:paraId="1B390C46" w14:textId="77777777" w:rsidR="00D7761E" w:rsidRPr="00D7761E" w:rsidRDefault="00D7761E" w:rsidP="00987775">
            <w:pPr>
              <w:widowControl w:val="0"/>
              <w:spacing w:line="240" w:lineRule="auto"/>
              <w:rPr>
                <w:sz w:val="24"/>
                <w:szCs w:val="24"/>
                <w:lang w:val="nb-NO"/>
              </w:rPr>
            </w:pPr>
            <w:r w:rsidRPr="00D7761E">
              <w:rPr>
                <w:sz w:val="24"/>
                <w:szCs w:val="24"/>
                <w:lang w:val="nb-NO"/>
              </w:rPr>
              <w:t xml:space="preserve">Et av argumentene som løftes er at vi må unngå økte strømpriser for forbrukere ved ikke å eksportere. Imidlertid vil eksport av </w:t>
            </w:r>
            <w:r w:rsidRPr="00D7761E">
              <w:rPr>
                <w:i/>
                <w:sz w:val="24"/>
                <w:szCs w:val="24"/>
                <w:lang w:val="nb-NO"/>
              </w:rPr>
              <w:t>alle</w:t>
            </w:r>
            <w:r w:rsidRPr="00D7761E">
              <w:rPr>
                <w:sz w:val="24"/>
                <w:szCs w:val="24"/>
                <w:lang w:val="nb-NO"/>
              </w:rPr>
              <w:t xml:space="preserve"> produkter gi høyere priser på disse produktene for nasjonalt næringsliv og nasjonens forbrukere. Det er tross alt derfor selskaper velger å eksportere sine produkter fremfor å selge dem hjemme. Hvorfor det er viktigere å holde prisen på elektrisk kraft lav, mens prisøkning som følge av eksport av andre nødvendighetsgoder som klær, mat, bensin og alt annet vi mennesker har behov for, er svært uklart. Argumentet fremstår derfor som veldig svakt. Hvis man ønsker å redusere forbrukernes utgifter til strøm bør man heller vurdere å redusere avgiften på elektrisk kraft.</w:t>
            </w:r>
          </w:p>
          <w:p w14:paraId="7698A8A0" w14:textId="77777777" w:rsidR="00D7761E" w:rsidRPr="00D7761E" w:rsidRDefault="00D7761E" w:rsidP="00987775">
            <w:pPr>
              <w:widowControl w:val="0"/>
              <w:spacing w:line="240" w:lineRule="auto"/>
              <w:rPr>
                <w:sz w:val="24"/>
                <w:szCs w:val="24"/>
                <w:lang w:val="nb-NO"/>
              </w:rPr>
            </w:pPr>
          </w:p>
          <w:p w14:paraId="598A021A" w14:textId="77777777" w:rsidR="00D7761E" w:rsidRPr="00D7761E" w:rsidRDefault="00D7761E" w:rsidP="00987775">
            <w:pPr>
              <w:widowControl w:val="0"/>
              <w:spacing w:line="240" w:lineRule="auto"/>
              <w:rPr>
                <w:sz w:val="24"/>
                <w:szCs w:val="24"/>
                <w:lang w:val="nb-NO"/>
              </w:rPr>
            </w:pPr>
            <w:r w:rsidRPr="00D7761E">
              <w:rPr>
                <w:sz w:val="24"/>
                <w:szCs w:val="24"/>
                <w:lang w:val="nb-NO"/>
              </w:rPr>
              <w:t xml:space="preserve">Et annet argument mot krafteksport som løftes er at vi må unngå økte strømpriser for kraftkrevende industri. Å avvise lønnsomme strømkabler på denne bakgrunnen innebærer å gi norsk kraftkrevende industri statlige subsidier som må betales av </w:t>
            </w:r>
            <w:r w:rsidRPr="00D7761E">
              <w:rPr>
                <w:sz w:val="24"/>
                <w:szCs w:val="24"/>
                <w:lang w:val="nb-NO"/>
              </w:rPr>
              <w:lastRenderedPageBreak/>
              <w:t xml:space="preserve">norske borgere gjennom lavere skatteinntekter fra kraftnæringen og dermed økt behov for skattlegging av andre personer, selskaper eller produkter. Argumentet synes å være basert på den avlegse ideen om at det er viktig for et land å ha en egen “industri”. Definisjonen av industri som her legges til grunn er for det første ekstremt snever. Videre er denne ideen tilbakevist for lenge siden. </w:t>
            </w:r>
          </w:p>
          <w:p w14:paraId="1E7F8294" w14:textId="77777777" w:rsidR="00D7761E" w:rsidRPr="00D7761E" w:rsidRDefault="00D7761E" w:rsidP="00987775">
            <w:pPr>
              <w:widowControl w:val="0"/>
              <w:spacing w:line="240" w:lineRule="auto"/>
              <w:rPr>
                <w:sz w:val="24"/>
                <w:szCs w:val="24"/>
                <w:lang w:val="nb-NO"/>
              </w:rPr>
            </w:pPr>
          </w:p>
          <w:p w14:paraId="1CC12728" w14:textId="77777777" w:rsidR="00D7761E" w:rsidRPr="00D7761E" w:rsidRDefault="00D7761E" w:rsidP="00987775">
            <w:pPr>
              <w:widowControl w:val="0"/>
              <w:spacing w:line="240" w:lineRule="auto"/>
              <w:rPr>
                <w:sz w:val="24"/>
                <w:szCs w:val="24"/>
                <w:lang w:val="nb-NO"/>
              </w:rPr>
            </w:pPr>
            <w:r w:rsidRPr="00D7761E">
              <w:rPr>
                <w:sz w:val="24"/>
                <w:szCs w:val="24"/>
                <w:lang w:val="nb-NO"/>
              </w:rPr>
              <w:t xml:space="preserve">Subsidiært bør disse to punktene hvertfall deles i to, ettersom de handler om to forskjellige ting. Punktet om å stille krav til miljø- og fiskerihensyn før konsesjon gis fortjener sitt eget punkt. </w:t>
            </w:r>
          </w:p>
        </w:tc>
      </w:tr>
    </w:tbl>
    <w:p w14:paraId="018D7B2C" w14:textId="77777777" w:rsidR="00D7761E" w:rsidRPr="00D7761E" w:rsidRDefault="00D7761E" w:rsidP="00D7761E">
      <w:pPr>
        <w:spacing w:line="240" w:lineRule="auto"/>
        <w:rPr>
          <w:sz w:val="24"/>
          <w:szCs w:val="24"/>
          <w:lang w:val="nb-NO"/>
        </w:rPr>
      </w:pPr>
    </w:p>
    <w:p w14:paraId="2BBB040D" w14:textId="77777777" w:rsidR="00D7761E" w:rsidRPr="00D7761E" w:rsidRDefault="00D7761E" w:rsidP="00D7761E">
      <w:pPr>
        <w:rPr>
          <w:sz w:val="24"/>
          <w:szCs w:val="24"/>
          <w:lang w:val="nb-NO"/>
        </w:rPr>
      </w:pPr>
    </w:p>
    <w:p w14:paraId="409741FD" w14:textId="77777777" w:rsidR="00D7761E" w:rsidRDefault="00D7761E" w:rsidP="00D7761E">
      <w:pPr>
        <w:rPr>
          <w:sz w:val="24"/>
          <w:szCs w:val="24"/>
          <w:lang w:val="nb-NO"/>
        </w:rPr>
      </w:pPr>
      <w:r w:rsidRPr="00D7761E">
        <w:rPr>
          <w:i/>
          <w:sz w:val="24"/>
          <w:szCs w:val="24"/>
          <w:u w:val="single"/>
          <w:lang w:val="nb-NO"/>
        </w:rPr>
        <w:t>/end kap 16 Industri</w:t>
      </w:r>
    </w:p>
    <w:p w14:paraId="05CB4F08" w14:textId="77777777" w:rsidR="000F3DA4" w:rsidRDefault="000F3DA4"/>
    <w:sectPr w:rsidR="000F3DA4" w:rsidSect="000F3D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1E"/>
    <w:rsid w:val="000F3DA4"/>
    <w:rsid w:val="001F1060"/>
    <w:rsid w:val="003027D9"/>
    <w:rsid w:val="00721A7F"/>
    <w:rsid w:val="00D7761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5E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1E"/>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7761E"/>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1E"/>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7761E"/>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2509</Characters>
  <Application>Microsoft Macintosh Word</Application>
  <DocSecurity>0</DocSecurity>
  <Lines>20</Lines>
  <Paragraphs>5</Paragraphs>
  <ScaleCrop>false</ScaleCrop>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KariFair</dc:creator>
  <cp:keywords/>
  <dc:description/>
  <cp:lastModifiedBy>KariFair</cp:lastModifiedBy>
  <cp:revision>4</cp:revision>
  <dcterms:created xsi:type="dcterms:W3CDTF">2020-11-02T14:58:00Z</dcterms:created>
  <dcterms:modified xsi:type="dcterms:W3CDTF">2020-11-05T14:47:00Z</dcterms:modified>
</cp:coreProperties>
</file>