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68A9" w14:textId="77777777" w:rsidR="00D30240" w:rsidRPr="00D30240" w:rsidRDefault="00D30240" w:rsidP="00D30240">
      <w:pPr>
        <w:pBdr>
          <w:top w:val="nil"/>
          <w:left w:val="nil"/>
          <w:bottom w:val="nil"/>
          <w:right w:val="nil"/>
          <w:between w:val="nil"/>
        </w:pBdr>
        <w:spacing w:line="240" w:lineRule="auto"/>
        <w:rPr>
          <w:b/>
          <w:sz w:val="32"/>
          <w:szCs w:val="32"/>
          <w:u w:val="single"/>
        </w:rPr>
      </w:pPr>
      <w:r w:rsidRPr="00D30240">
        <w:rPr>
          <w:b/>
          <w:sz w:val="32"/>
          <w:szCs w:val="32"/>
          <w:u w:val="single"/>
        </w:rPr>
        <w:t>Kapittel 23 Bolig</w:t>
      </w:r>
    </w:p>
    <w:p w14:paraId="7C3DDC5B" w14:textId="60111E3B" w:rsidR="00D30240" w:rsidRPr="00277992" w:rsidRDefault="00277992" w:rsidP="00277992">
      <w:pPr>
        <w:spacing w:line="240" w:lineRule="auto"/>
        <w:rPr>
          <w:i/>
          <w:sz w:val="24"/>
          <w:szCs w:val="24"/>
          <w:lang w:val="nb-NO"/>
        </w:rPr>
      </w:pPr>
      <w:r>
        <w:rPr>
          <w:i/>
          <w:sz w:val="24"/>
          <w:szCs w:val="24"/>
          <w:lang w:val="nb-NO"/>
        </w:rPr>
        <w:t>Endelig oppdatert: 04</w:t>
      </w:r>
      <w:r w:rsidRPr="008C07DA">
        <w:rPr>
          <w:i/>
          <w:sz w:val="24"/>
          <w:szCs w:val="24"/>
          <w:lang w:val="nb-NO"/>
        </w:rPr>
        <w:t>.11.2020</w:t>
      </w:r>
      <w:bookmarkStart w:id="0" w:name="_GoBack"/>
      <w:bookmarkEnd w:id="0"/>
    </w:p>
    <w:p w14:paraId="6C3B7B67" w14:textId="77777777" w:rsidR="00D30240" w:rsidRPr="00D30240" w:rsidRDefault="00D30240" w:rsidP="00D30240">
      <w:pPr>
        <w:rPr>
          <w:b/>
          <w:i/>
          <w:sz w:val="24"/>
          <w:szCs w:val="24"/>
          <w:u w:val="single"/>
        </w:rPr>
      </w:pPr>
    </w:p>
    <w:p w14:paraId="40FA116F" w14:textId="77777777" w:rsidR="00D30240" w:rsidRPr="00D30240" w:rsidRDefault="00D30240" w:rsidP="00D30240">
      <w:pPr>
        <w:rPr>
          <w:b/>
          <w:i/>
          <w:sz w:val="24"/>
          <w:szCs w:val="24"/>
          <w:u w:val="single"/>
        </w:rPr>
      </w:pPr>
      <w:r w:rsidRPr="00D30240">
        <w:rPr>
          <w:b/>
          <w:i/>
          <w:sz w:val="24"/>
          <w:szCs w:val="24"/>
          <w:u w:val="single"/>
        </w:rPr>
        <w:t>Oversikt over forslagene til dette kapitlet:</w:t>
      </w:r>
    </w:p>
    <w:p w14:paraId="547BA245" w14:textId="77777777" w:rsidR="00D30240" w:rsidRPr="00D30240" w:rsidRDefault="00D30240" w:rsidP="00D30240">
      <w:pPr>
        <w:rPr>
          <w:b/>
          <w:i/>
          <w:sz w:val="24"/>
          <w:szCs w:val="24"/>
          <w:u w:val="single"/>
        </w:rPr>
      </w:pPr>
    </w:p>
    <w:tbl>
      <w:tblPr>
        <w:tblStyle w:val="Tabellrutenett"/>
        <w:tblW w:w="9322" w:type="dxa"/>
        <w:tblLook w:val="04A0" w:firstRow="1" w:lastRow="0" w:firstColumn="1" w:lastColumn="0" w:noHBand="0" w:noVBand="1"/>
      </w:tblPr>
      <w:tblGrid>
        <w:gridCol w:w="2518"/>
        <w:gridCol w:w="1893"/>
        <w:gridCol w:w="2456"/>
        <w:gridCol w:w="2455"/>
      </w:tblGrid>
      <w:tr w:rsidR="00D30240" w:rsidRPr="00D30240" w14:paraId="03DE5D80" w14:textId="77777777" w:rsidTr="00987775">
        <w:tc>
          <w:tcPr>
            <w:tcW w:w="2518" w:type="dxa"/>
          </w:tcPr>
          <w:p w14:paraId="260D0DD4" w14:textId="77777777" w:rsidR="00D30240" w:rsidRPr="00D30240" w:rsidRDefault="00D30240" w:rsidP="000E4FD9">
            <w:pPr>
              <w:jc w:val="center"/>
              <w:rPr>
                <w:b/>
                <w:sz w:val="24"/>
                <w:szCs w:val="24"/>
                <w:lang w:val="nb-NO"/>
              </w:rPr>
            </w:pPr>
            <w:r w:rsidRPr="00D30240">
              <w:rPr>
                <w:b/>
                <w:sz w:val="24"/>
                <w:szCs w:val="24"/>
                <w:lang w:val="nb-NO"/>
              </w:rPr>
              <w:t>Kapittel</w:t>
            </w:r>
          </w:p>
        </w:tc>
        <w:tc>
          <w:tcPr>
            <w:tcW w:w="1893" w:type="dxa"/>
          </w:tcPr>
          <w:p w14:paraId="5DD852E8" w14:textId="77777777" w:rsidR="00D30240" w:rsidRPr="00D30240" w:rsidRDefault="00D30240" w:rsidP="000E4FD9">
            <w:pPr>
              <w:jc w:val="center"/>
              <w:rPr>
                <w:b/>
                <w:sz w:val="24"/>
                <w:szCs w:val="24"/>
                <w:lang w:val="nb-NO"/>
              </w:rPr>
            </w:pPr>
            <w:r w:rsidRPr="00D30240">
              <w:rPr>
                <w:b/>
                <w:sz w:val="24"/>
                <w:szCs w:val="24"/>
                <w:lang w:val="nb-NO"/>
              </w:rPr>
              <w:t>Punkt</w:t>
            </w:r>
          </w:p>
        </w:tc>
        <w:tc>
          <w:tcPr>
            <w:tcW w:w="2456" w:type="dxa"/>
          </w:tcPr>
          <w:p w14:paraId="4EF186C4" w14:textId="77777777" w:rsidR="00D30240" w:rsidRPr="00D30240" w:rsidRDefault="00D30240" w:rsidP="000E4FD9">
            <w:pPr>
              <w:jc w:val="center"/>
              <w:rPr>
                <w:b/>
                <w:sz w:val="24"/>
                <w:szCs w:val="24"/>
                <w:lang w:val="nb-NO"/>
              </w:rPr>
            </w:pPr>
            <w:r w:rsidRPr="00D30240">
              <w:rPr>
                <w:b/>
                <w:sz w:val="24"/>
                <w:szCs w:val="24"/>
                <w:lang w:val="nb-NO"/>
              </w:rPr>
              <w:t>Linjenr</w:t>
            </w:r>
          </w:p>
        </w:tc>
        <w:tc>
          <w:tcPr>
            <w:tcW w:w="2455" w:type="dxa"/>
          </w:tcPr>
          <w:p w14:paraId="22CBEA0B" w14:textId="77777777" w:rsidR="00D30240" w:rsidRPr="00D30240" w:rsidRDefault="00D30240" w:rsidP="000E4FD9">
            <w:pPr>
              <w:jc w:val="center"/>
              <w:rPr>
                <w:b/>
                <w:sz w:val="24"/>
                <w:szCs w:val="24"/>
                <w:lang w:val="nb-NO"/>
              </w:rPr>
            </w:pPr>
            <w:r w:rsidRPr="00D30240">
              <w:rPr>
                <w:b/>
                <w:sz w:val="24"/>
                <w:szCs w:val="24"/>
                <w:lang w:val="nb-NO"/>
              </w:rPr>
              <w:t>Type forslag</w:t>
            </w:r>
          </w:p>
        </w:tc>
      </w:tr>
      <w:tr w:rsidR="00D30240" w:rsidRPr="00D30240" w14:paraId="456A8E80" w14:textId="77777777" w:rsidTr="00987775">
        <w:tc>
          <w:tcPr>
            <w:tcW w:w="2518" w:type="dxa"/>
          </w:tcPr>
          <w:p w14:paraId="04B59F24" w14:textId="77777777" w:rsidR="00D30240" w:rsidRPr="00D30240" w:rsidRDefault="00D30240" w:rsidP="000E4FD9">
            <w:pPr>
              <w:pBdr>
                <w:top w:val="nil"/>
                <w:left w:val="nil"/>
                <w:bottom w:val="nil"/>
                <w:right w:val="nil"/>
                <w:between w:val="nil"/>
              </w:pBdr>
              <w:spacing w:line="240" w:lineRule="auto"/>
              <w:jc w:val="center"/>
              <w:rPr>
                <w:b/>
                <w:sz w:val="24"/>
                <w:szCs w:val="24"/>
              </w:rPr>
            </w:pPr>
            <w:r w:rsidRPr="00D30240">
              <w:rPr>
                <w:b/>
                <w:sz w:val="24"/>
                <w:szCs w:val="24"/>
              </w:rPr>
              <w:t>23 Bolig</w:t>
            </w:r>
          </w:p>
        </w:tc>
        <w:tc>
          <w:tcPr>
            <w:tcW w:w="1893" w:type="dxa"/>
          </w:tcPr>
          <w:p w14:paraId="46A6DEED" w14:textId="77777777" w:rsidR="00D30240" w:rsidRPr="00D30240" w:rsidRDefault="00D30240" w:rsidP="000E4FD9">
            <w:pPr>
              <w:jc w:val="center"/>
              <w:rPr>
                <w:sz w:val="24"/>
                <w:szCs w:val="24"/>
                <w:lang w:val="nb-NO"/>
              </w:rPr>
            </w:pPr>
            <w:r w:rsidRPr="00D30240">
              <w:rPr>
                <w:sz w:val="24"/>
                <w:szCs w:val="24"/>
              </w:rPr>
              <w:t>N/A</w:t>
            </w:r>
          </w:p>
        </w:tc>
        <w:tc>
          <w:tcPr>
            <w:tcW w:w="2456" w:type="dxa"/>
          </w:tcPr>
          <w:p w14:paraId="0AC30271" w14:textId="77777777" w:rsidR="00D30240" w:rsidRPr="00D30240" w:rsidRDefault="00D30240" w:rsidP="000E4FD9">
            <w:pPr>
              <w:jc w:val="center"/>
              <w:rPr>
                <w:sz w:val="24"/>
                <w:szCs w:val="24"/>
                <w:lang w:val="nb-NO"/>
              </w:rPr>
            </w:pPr>
            <w:r w:rsidRPr="00D30240">
              <w:rPr>
                <w:sz w:val="24"/>
                <w:szCs w:val="24"/>
              </w:rPr>
              <w:t>2429</w:t>
            </w:r>
          </w:p>
        </w:tc>
        <w:tc>
          <w:tcPr>
            <w:tcW w:w="2455" w:type="dxa"/>
          </w:tcPr>
          <w:p w14:paraId="76416271" w14:textId="77777777" w:rsidR="00D30240" w:rsidRPr="00D30240" w:rsidRDefault="00D30240" w:rsidP="000E4FD9">
            <w:pPr>
              <w:jc w:val="center"/>
              <w:rPr>
                <w:sz w:val="24"/>
                <w:szCs w:val="24"/>
              </w:rPr>
            </w:pPr>
            <w:r w:rsidRPr="00D30240">
              <w:rPr>
                <w:sz w:val="24"/>
                <w:szCs w:val="24"/>
              </w:rPr>
              <w:t>Nytt punkt</w:t>
            </w:r>
          </w:p>
        </w:tc>
      </w:tr>
      <w:tr w:rsidR="00D30240" w:rsidRPr="00D30240" w14:paraId="7B8DE526" w14:textId="77777777" w:rsidTr="00987775">
        <w:tc>
          <w:tcPr>
            <w:tcW w:w="2518" w:type="dxa"/>
          </w:tcPr>
          <w:p w14:paraId="23E98B4F" w14:textId="77777777" w:rsidR="00D30240" w:rsidRPr="00D30240" w:rsidRDefault="00D30240" w:rsidP="000E4FD9">
            <w:pPr>
              <w:jc w:val="center"/>
              <w:rPr>
                <w:b/>
                <w:sz w:val="24"/>
                <w:szCs w:val="24"/>
                <w:lang w:val="nb-NO"/>
              </w:rPr>
            </w:pPr>
          </w:p>
        </w:tc>
        <w:tc>
          <w:tcPr>
            <w:tcW w:w="1893" w:type="dxa"/>
          </w:tcPr>
          <w:p w14:paraId="51922220" w14:textId="77777777" w:rsidR="00D30240" w:rsidRPr="00D30240" w:rsidRDefault="00D30240" w:rsidP="000E4FD9">
            <w:pPr>
              <w:jc w:val="center"/>
              <w:rPr>
                <w:b/>
                <w:sz w:val="24"/>
                <w:szCs w:val="24"/>
                <w:u w:val="single"/>
                <w:lang w:val="nb-NO"/>
              </w:rPr>
            </w:pPr>
            <w:r w:rsidRPr="00D30240">
              <w:rPr>
                <w:sz w:val="24"/>
                <w:szCs w:val="24"/>
              </w:rPr>
              <w:t>23.3 a</w:t>
            </w:r>
          </w:p>
        </w:tc>
        <w:tc>
          <w:tcPr>
            <w:tcW w:w="2456" w:type="dxa"/>
          </w:tcPr>
          <w:p w14:paraId="6E3409F4" w14:textId="77777777" w:rsidR="00D30240" w:rsidRPr="00D30240" w:rsidRDefault="00D30240" w:rsidP="000E4FD9">
            <w:pPr>
              <w:jc w:val="center"/>
              <w:rPr>
                <w:b/>
                <w:sz w:val="24"/>
                <w:szCs w:val="24"/>
                <w:u w:val="single"/>
                <w:lang w:val="nb-NO"/>
              </w:rPr>
            </w:pPr>
            <w:r w:rsidRPr="00D30240">
              <w:rPr>
                <w:sz w:val="24"/>
                <w:szCs w:val="24"/>
              </w:rPr>
              <w:t>2430-2432</w:t>
            </w:r>
          </w:p>
        </w:tc>
        <w:tc>
          <w:tcPr>
            <w:tcW w:w="2455" w:type="dxa"/>
          </w:tcPr>
          <w:p w14:paraId="5D6EB7CC" w14:textId="77777777" w:rsidR="00D30240" w:rsidRPr="00D30240" w:rsidRDefault="00D30240" w:rsidP="000E4FD9">
            <w:pPr>
              <w:jc w:val="center"/>
              <w:rPr>
                <w:b/>
                <w:sz w:val="24"/>
                <w:szCs w:val="24"/>
                <w:u w:val="single"/>
                <w:lang w:val="nb-NO"/>
              </w:rPr>
            </w:pPr>
            <w:r w:rsidRPr="00D30240">
              <w:rPr>
                <w:sz w:val="24"/>
                <w:szCs w:val="24"/>
              </w:rPr>
              <w:t>Tillegg</w:t>
            </w:r>
          </w:p>
        </w:tc>
      </w:tr>
      <w:tr w:rsidR="00D30240" w:rsidRPr="00D30240" w14:paraId="5E81929E" w14:textId="77777777" w:rsidTr="00987775">
        <w:tc>
          <w:tcPr>
            <w:tcW w:w="2518" w:type="dxa"/>
          </w:tcPr>
          <w:p w14:paraId="0D9CCD0E" w14:textId="77777777" w:rsidR="00D30240" w:rsidRPr="00D30240" w:rsidRDefault="00D30240" w:rsidP="000E4FD9">
            <w:pPr>
              <w:jc w:val="center"/>
              <w:rPr>
                <w:b/>
                <w:sz w:val="24"/>
                <w:szCs w:val="24"/>
                <w:u w:val="single"/>
                <w:lang w:val="nb-NO"/>
              </w:rPr>
            </w:pPr>
          </w:p>
        </w:tc>
        <w:tc>
          <w:tcPr>
            <w:tcW w:w="1893" w:type="dxa"/>
          </w:tcPr>
          <w:p w14:paraId="53735B71" w14:textId="77777777" w:rsidR="00D30240" w:rsidRPr="00D30240" w:rsidRDefault="00D30240" w:rsidP="000E4FD9">
            <w:pPr>
              <w:jc w:val="center"/>
              <w:rPr>
                <w:b/>
                <w:sz w:val="24"/>
                <w:szCs w:val="24"/>
                <w:u w:val="single"/>
                <w:lang w:val="nb-NO"/>
              </w:rPr>
            </w:pPr>
            <w:r w:rsidRPr="00D30240">
              <w:rPr>
                <w:sz w:val="24"/>
                <w:szCs w:val="24"/>
              </w:rPr>
              <w:t>23.3 b</w:t>
            </w:r>
          </w:p>
        </w:tc>
        <w:tc>
          <w:tcPr>
            <w:tcW w:w="2456" w:type="dxa"/>
          </w:tcPr>
          <w:p w14:paraId="0B87D13A" w14:textId="77777777" w:rsidR="00D30240" w:rsidRPr="00D30240" w:rsidRDefault="00D30240" w:rsidP="000E4FD9">
            <w:pPr>
              <w:jc w:val="center"/>
              <w:rPr>
                <w:b/>
                <w:sz w:val="24"/>
                <w:szCs w:val="24"/>
                <w:u w:val="single"/>
                <w:lang w:val="nb-NO"/>
              </w:rPr>
            </w:pPr>
            <w:r w:rsidRPr="00D30240">
              <w:rPr>
                <w:sz w:val="24"/>
                <w:szCs w:val="24"/>
              </w:rPr>
              <w:t>2434</w:t>
            </w:r>
          </w:p>
        </w:tc>
        <w:tc>
          <w:tcPr>
            <w:tcW w:w="2455" w:type="dxa"/>
          </w:tcPr>
          <w:p w14:paraId="74724302" w14:textId="77777777" w:rsidR="00D30240" w:rsidRPr="00D30240" w:rsidRDefault="00D30240" w:rsidP="000E4FD9">
            <w:pPr>
              <w:jc w:val="center"/>
              <w:rPr>
                <w:b/>
                <w:sz w:val="24"/>
                <w:szCs w:val="24"/>
                <w:u w:val="single"/>
                <w:lang w:val="nb-NO"/>
              </w:rPr>
            </w:pPr>
            <w:r w:rsidRPr="00D30240">
              <w:rPr>
                <w:sz w:val="24"/>
                <w:szCs w:val="24"/>
              </w:rPr>
              <w:t>Endring</w:t>
            </w:r>
          </w:p>
        </w:tc>
      </w:tr>
      <w:tr w:rsidR="00D30240" w:rsidRPr="00D30240" w14:paraId="154120F5" w14:textId="77777777" w:rsidTr="00987775">
        <w:tc>
          <w:tcPr>
            <w:tcW w:w="2518" w:type="dxa"/>
          </w:tcPr>
          <w:p w14:paraId="2BE2B102" w14:textId="77777777" w:rsidR="00D30240" w:rsidRPr="00D30240" w:rsidRDefault="00D30240" w:rsidP="000E4FD9">
            <w:pPr>
              <w:jc w:val="center"/>
              <w:rPr>
                <w:b/>
                <w:sz w:val="24"/>
                <w:szCs w:val="24"/>
                <w:u w:val="single"/>
                <w:lang w:val="nb-NO"/>
              </w:rPr>
            </w:pPr>
          </w:p>
        </w:tc>
        <w:tc>
          <w:tcPr>
            <w:tcW w:w="1893" w:type="dxa"/>
          </w:tcPr>
          <w:p w14:paraId="32AD6C00" w14:textId="77777777" w:rsidR="00D30240" w:rsidRPr="00D30240" w:rsidRDefault="00D30240" w:rsidP="000E4FD9">
            <w:pPr>
              <w:jc w:val="center"/>
              <w:rPr>
                <w:b/>
                <w:sz w:val="24"/>
                <w:szCs w:val="24"/>
                <w:u w:val="single"/>
                <w:lang w:val="nb-NO"/>
              </w:rPr>
            </w:pPr>
            <w:r w:rsidRPr="00D30240">
              <w:rPr>
                <w:sz w:val="24"/>
                <w:szCs w:val="24"/>
              </w:rPr>
              <w:t>23.4 e</w:t>
            </w:r>
          </w:p>
        </w:tc>
        <w:tc>
          <w:tcPr>
            <w:tcW w:w="2456" w:type="dxa"/>
          </w:tcPr>
          <w:p w14:paraId="42150069" w14:textId="77777777" w:rsidR="00D30240" w:rsidRPr="00D30240" w:rsidRDefault="00D30240" w:rsidP="000E4FD9">
            <w:pPr>
              <w:jc w:val="center"/>
              <w:rPr>
                <w:b/>
                <w:sz w:val="24"/>
                <w:szCs w:val="24"/>
                <w:u w:val="single"/>
                <w:lang w:val="nb-NO"/>
              </w:rPr>
            </w:pPr>
            <w:r w:rsidRPr="00D30240">
              <w:rPr>
                <w:sz w:val="24"/>
                <w:szCs w:val="24"/>
              </w:rPr>
              <w:t>2457-2458</w:t>
            </w:r>
          </w:p>
        </w:tc>
        <w:tc>
          <w:tcPr>
            <w:tcW w:w="2455" w:type="dxa"/>
          </w:tcPr>
          <w:p w14:paraId="3ABD8FC4" w14:textId="77777777" w:rsidR="00D30240" w:rsidRPr="00D30240" w:rsidRDefault="00D30240" w:rsidP="000E4FD9">
            <w:pPr>
              <w:jc w:val="center"/>
              <w:rPr>
                <w:b/>
                <w:sz w:val="24"/>
                <w:szCs w:val="24"/>
                <w:u w:val="single"/>
                <w:lang w:val="nb-NO"/>
              </w:rPr>
            </w:pPr>
            <w:r w:rsidRPr="00D30240">
              <w:rPr>
                <w:sz w:val="24"/>
                <w:szCs w:val="24"/>
              </w:rPr>
              <w:t>Tillegg</w:t>
            </w:r>
          </w:p>
        </w:tc>
      </w:tr>
      <w:tr w:rsidR="00D30240" w:rsidRPr="00D30240" w14:paraId="34AE6ACC" w14:textId="77777777" w:rsidTr="00987775">
        <w:tc>
          <w:tcPr>
            <w:tcW w:w="2518" w:type="dxa"/>
          </w:tcPr>
          <w:p w14:paraId="7E9A06CE" w14:textId="77777777" w:rsidR="00D30240" w:rsidRPr="00D30240" w:rsidRDefault="00D30240" w:rsidP="000E4FD9">
            <w:pPr>
              <w:jc w:val="center"/>
              <w:rPr>
                <w:b/>
                <w:sz w:val="24"/>
                <w:szCs w:val="24"/>
                <w:u w:val="single"/>
                <w:lang w:val="nb-NO"/>
              </w:rPr>
            </w:pPr>
          </w:p>
        </w:tc>
        <w:tc>
          <w:tcPr>
            <w:tcW w:w="1893" w:type="dxa"/>
          </w:tcPr>
          <w:p w14:paraId="760408B0" w14:textId="77777777" w:rsidR="00D30240" w:rsidRPr="00D30240" w:rsidRDefault="00D30240" w:rsidP="000E4FD9">
            <w:pPr>
              <w:jc w:val="center"/>
              <w:rPr>
                <w:b/>
                <w:sz w:val="24"/>
                <w:szCs w:val="24"/>
                <w:u w:val="single"/>
                <w:lang w:val="nb-NO"/>
              </w:rPr>
            </w:pPr>
          </w:p>
        </w:tc>
        <w:tc>
          <w:tcPr>
            <w:tcW w:w="2456" w:type="dxa"/>
          </w:tcPr>
          <w:p w14:paraId="13CE51E2" w14:textId="77777777" w:rsidR="00D30240" w:rsidRPr="00D30240" w:rsidRDefault="00D30240" w:rsidP="000E4FD9">
            <w:pPr>
              <w:jc w:val="center"/>
              <w:rPr>
                <w:b/>
                <w:sz w:val="24"/>
                <w:szCs w:val="24"/>
                <w:u w:val="single"/>
                <w:lang w:val="nb-NO"/>
              </w:rPr>
            </w:pPr>
          </w:p>
        </w:tc>
        <w:tc>
          <w:tcPr>
            <w:tcW w:w="2455" w:type="dxa"/>
          </w:tcPr>
          <w:p w14:paraId="6D280E03" w14:textId="77777777" w:rsidR="00D30240" w:rsidRPr="00D30240" w:rsidRDefault="00D30240" w:rsidP="000E4FD9">
            <w:pPr>
              <w:jc w:val="center"/>
              <w:rPr>
                <w:b/>
                <w:sz w:val="24"/>
                <w:szCs w:val="24"/>
                <w:u w:val="single"/>
                <w:lang w:val="nb-NO"/>
              </w:rPr>
            </w:pPr>
          </w:p>
        </w:tc>
      </w:tr>
    </w:tbl>
    <w:p w14:paraId="2243E88E" w14:textId="77777777" w:rsidR="00D30240" w:rsidRPr="00D30240" w:rsidRDefault="00D30240" w:rsidP="00D30240">
      <w:pPr>
        <w:pBdr>
          <w:top w:val="nil"/>
          <w:left w:val="nil"/>
          <w:bottom w:val="nil"/>
          <w:right w:val="nil"/>
          <w:between w:val="nil"/>
        </w:pBdr>
        <w:spacing w:line="240" w:lineRule="auto"/>
        <w:rPr>
          <w:b/>
          <w:sz w:val="24"/>
          <w:szCs w:val="24"/>
          <w:u w:val="single"/>
        </w:rPr>
      </w:pPr>
    </w:p>
    <w:p w14:paraId="223D5E43" w14:textId="77777777" w:rsidR="00D30240" w:rsidRPr="00D30240" w:rsidRDefault="00D30240" w:rsidP="00D30240">
      <w:pPr>
        <w:spacing w:line="240" w:lineRule="auto"/>
        <w:rPr>
          <w:sz w:val="24"/>
          <w:szCs w:val="24"/>
        </w:rPr>
      </w:pPr>
    </w:p>
    <w:p w14:paraId="2755FF8A" w14:textId="77777777" w:rsidR="00D30240" w:rsidRPr="00D30240" w:rsidRDefault="00D30240" w:rsidP="00D30240">
      <w:pPr>
        <w:spacing w:line="240" w:lineRule="auto"/>
        <w:rPr>
          <w:sz w:val="24"/>
          <w:szCs w:val="24"/>
        </w:rPr>
      </w:pPr>
    </w:p>
    <w:p w14:paraId="29392AC0" w14:textId="77777777" w:rsidR="00D30240" w:rsidRPr="00D30240" w:rsidRDefault="00D30240" w:rsidP="00D30240">
      <w:pPr>
        <w:spacing w:line="240" w:lineRule="auto"/>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353"/>
        <w:gridCol w:w="4992"/>
      </w:tblGrid>
      <w:tr w:rsidR="00D30240" w:rsidRPr="00D30240" w14:paraId="68080CE0" w14:textId="77777777" w:rsidTr="003501E8">
        <w:trPr>
          <w:trHeight w:val="525"/>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9C485" w14:textId="77777777" w:rsidR="00D30240" w:rsidRPr="00D30240" w:rsidRDefault="00D30240" w:rsidP="00987775">
            <w:pPr>
              <w:spacing w:line="240" w:lineRule="auto"/>
              <w:rPr>
                <w:sz w:val="24"/>
                <w:szCs w:val="24"/>
              </w:rPr>
            </w:pPr>
            <w:r w:rsidRPr="00D30240">
              <w:rPr>
                <w:b/>
                <w:sz w:val="24"/>
                <w:szCs w:val="24"/>
              </w:rPr>
              <w:t xml:space="preserve">Type forslag: </w:t>
            </w:r>
            <w:r w:rsidRPr="00D30240">
              <w:rPr>
                <w:sz w:val="24"/>
                <w:szCs w:val="24"/>
              </w:rPr>
              <w:t>Nytt punkt</w:t>
            </w:r>
          </w:p>
        </w:tc>
        <w:tc>
          <w:tcPr>
            <w:tcW w:w="4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64E1B6" w14:textId="77777777" w:rsidR="003501E8" w:rsidRPr="004937FA" w:rsidRDefault="003501E8" w:rsidP="003501E8">
            <w:pPr>
              <w:spacing w:line="240" w:lineRule="auto"/>
              <w:rPr>
                <w:b/>
                <w:sz w:val="24"/>
                <w:szCs w:val="24"/>
                <w:lang w:val="nb-NO"/>
              </w:rPr>
            </w:pPr>
            <w:r w:rsidRPr="004937FA">
              <w:rPr>
                <w:b/>
                <w:sz w:val="24"/>
                <w:szCs w:val="24"/>
                <w:lang w:val="nb-NO"/>
              </w:rPr>
              <w:t xml:space="preserve">Forslagsstiller: Hjalmar Kolsaker </w:t>
            </w:r>
          </w:p>
          <w:p w14:paraId="5B33A9DB" w14:textId="77777777" w:rsidR="00D30240" w:rsidRPr="00D30240" w:rsidRDefault="003501E8" w:rsidP="003501E8">
            <w:pPr>
              <w:spacing w:line="240" w:lineRule="auto"/>
              <w:rPr>
                <w:sz w:val="24"/>
                <w:szCs w:val="24"/>
                <w:lang w:val="nb-NO"/>
              </w:rPr>
            </w:pPr>
            <w:r w:rsidRPr="001F1060">
              <w:rPr>
                <w:sz w:val="24"/>
                <w:szCs w:val="24"/>
                <w:lang w:val="nb-NO"/>
              </w:rPr>
              <w:t>/ Rødt Oslos miljø- og samferdselsutvalg</w:t>
            </w:r>
          </w:p>
        </w:tc>
      </w:tr>
      <w:tr w:rsidR="00D30240" w:rsidRPr="00D30240" w14:paraId="5C348410" w14:textId="77777777" w:rsidTr="003501E8">
        <w:trPr>
          <w:trHeight w:val="555"/>
        </w:trPr>
        <w:tc>
          <w:tcPr>
            <w:tcW w:w="43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E2D0CF" w14:textId="77777777" w:rsidR="00D30240" w:rsidRPr="00D30240" w:rsidRDefault="00D30240" w:rsidP="00987775">
            <w:pPr>
              <w:spacing w:line="240" w:lineRule="auto"/>
              <w:rPr>
                <w:sz w:val="24"/>
                <w:szCs w:val="24"/>
              </w:rPr>
            </w:pPr>
            <w:r w:rsidRPr="00D30240">
              <w:rPr>
                <w:b/>
                <w:sz w:val="24"/>
                <w:szCs w:val="24"/>
              </w:rPr>
              <w:t xml:space="preserve">Kapittel: </w:t>
            </w:r>
            <w:r w:rsidRPr="00D30240">
              <w:rPr>
                <w:sz w:val="24"/>
                <w:szCs w:val="24"/>
              </w:rPr>
              <w:t>23</w:t>
            </w:r>
          </w:p>
        </w:tc>
        <w:tc>
          <w:tcPr>
            <w:tcW w:w="4992" w:type="dxa"/>
            <w:tcBorders>
              <w:bottom w:val="single" w:sz="8" w:space="0" w:color="000000"/>
              <w:right w:val="single" w:sz="8" w:space="0" w:color="000000"/>
            </w:tcBorders>
            <w:tcMar>
              <w:top w:w="100" w:type="dxa"/>
              <w:left w:w="100" w:type="dxa"/>
              <w:bottom w:w="100" w:type="dxa"/>
              <w:right w:w="100" w:type="dxa"/>
            </w:tcMar>
          </w:tcPr>
          <w:p w14:paraId="73714A19" w14:textId="77777777" w:rsidR="00D30240" w:rsidRPr="00D30240" w:rsidRDefault="00D30240" w:rsidP="00987775">
            <w:pPr>
              <w:spacing w:line="240" w:lineRule="auto"/>
              <w:rPr>
                <w:b/>
                <w:sz w:val="24"/>
                <w:szCs w:val="24"/>
              </w:rPr>
            </w:pPr>
            <w:r w:rsidRPr="00D30240">
              <w:rPr>
                <w:b/>
                <w:sz w:val="24"/>
                <w:szCs w:val="24"/>
              </w:rPr>
              <w:t xml:space="preserve">Punkt: </w:t>
            </w:r>
            <w:r w:rsidRPr="00D30240">
              <w:rPr>
                <w:sz w:val="24"/>
                <w:szCs w:val="24"/>
              </w:rPr>
              <w:t>N/A</w:t>
            </w:r>
          </w:p>
        </w:tc>
      </w:tr>
      <w:tr w:rsidR="00D30240" w:rsidRPr="00D30240" w14:paraId="0464A4D7" w14:textId="77777777" w:rsidTr="003501E8">
        <w:trPr>
          <w:trHeight w:val="555"/>
        </w:trPr>
        <w:tc>
          <w:tcPr>
            <w:tcW w:w="43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BB31B4" w14:textId="77777777" w:rsidR="00D30240" w:rsidRPr="00D30240" w:rsidRDefault="00D30240" w:rsidP="00987775">
            <w:pPr>
              <w:spacing w:line="240" w:lineRule="auto"/>
              <w:rPr>
                <w:sz w:val="24"/>
                <w:szCs w:val="24"/>
              </w:rPr>
            </w:pPr>
            <w:r w:rsidRPr="00D30240">
              <w:rPr>
                <w:b/>
                <w:sz w:val="24"/>
                <w:szCs w:val="24"/>
              </w:rPr>
              <w:t xml:space="preserve">Linjenummer: </w:t>
            </w:r>
            <w:r w:rsidRPr="00D30240">
              <w:rPr>
                <w:sz w:val="24"/>
                <w:szCs w:val="24"/>
              </w:rPr>
              <w:t>2429</w:t>
            </w:r>
          </w:p>
        </w:tc>
        <w:tc>
          <w:tcPr>
            <w:tcW w:w="4992" w:type="dxa"/>
            <w:tcBorders>
              <w:bottom w:val="single" w:sz="8" w:space="0" w:color="000000"/>
              <w:right w:val="single" w:sz="8" w:space="0" w:color="000000"/>
            </w:tcBorders>
            <w:tcMar>
              <w:top w:w="100" w:type="dxa"/>
              <w:left w:w="100" w:type="dxa"/>
              <w:bottom w:w="100" w:type="dxa"/>
              <w:right w:w="100" w:type="dxa"/>
            </w:tcMar>
          </w:tcPr>
          <w:p w14:paraId="596EA2B3" w14:textId="77777777" w:rsidR="00D30240" w:rsidRPr="00D30240" w:rsidRDefault="00D30240" w:rsidP="00987775">
            <w:pPr>
              <w:spacing w:line="240" w:lineRule="auto"/>
              <w:rPr>
                <w:sz w:val="24"/>
                <w:szCs w:val="24"/>
              </w:rPr>
            </w:pPr>
          </w:p>
        </w:tc>
      </w:tr>
      <w:tr w:rsidR="00D30240" w:rsidRPr="00D30240" w14:paraId="43FBCB72" w14:textId="77777777" w:rsidTr="00987775">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4149098" w14:textId="77777777" w:rsidR="00D30240" w:rsidRPr="00D30240" w:rsidRDefault="00D30240" w:rsidP="00987775">
            <w:pPr>
              <w:spacing w:line="240" w:lineRule="auto"/>
              <w:rPr>
                <w:sz w:val="24"/>
                <w:szCs w:val="24"/>
              </w:rPr>
            </w:pPr>
            <w:r w:rsidRPr="00D30240">
              <w:rPr>
                <w:b/>
                <w:sz w:val="24"/>
                <w:szCs w:val="24"/>
              </w:rPr>
              <w:t xml:space="preserve">Opprinnelig punkt: </w:t>
            </w:r>
            <w:r w:rsidRPr="00D30240">
              <w:rPr>
                <w:sz w:val="24"/>
                <w:szCs w:val="24"/>
              </w:rPr>
              <w:t>N/A</w:t>
            </w:r>
          </w:p>
        </w:tc>
      </w:tr>
      <w:tr w:rsidR="00D30240" w:rsidRPr="00D30240" w14:paraId="1EBA3F8A"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09032" w14:textId="77777777" w:rsidR="00D30240" w:rsidRDefault="00D30240" w:rsidP="00987775">
            <w:pPr>
              <w:spacing w:line="240" w:lineRule="auto"/>
              <w:rPr>
                <w:sz w:val="24"/>
                <w:szCs w:val="24"/>
              </w:rPr>
            </w:pPr>
            <w:r w:rsidRPr="00D30240">
              <w:rPr>
                <w:b/>
                <w:sz w:val="24"/>
                <w:szCs w:val="24"/>
                <w:lang w:val="nb-NO"/>
              </w:rPr>
              <w:t>Nytt punkt:</w:t>
            </w:r>
            <w:r w:rsidRPr="00D30240">
              <w:rPr>
                <w:sz w:val="24"/>
                <w:szCs w:val="24"/>
                <w:lang w:val="nb-NO"/>
              </w:rPr>
              <w:t xml:space="preserve"> Foreslår nytt første punkt foran nåværende pkt. a). «Stopp byggingen av både luksusboliger og altfor små boliger. Boligbygging må sees både i et økologisk og sosialt perspektiv. </w:t>
            </w:r>
            <w:r w:rsidRPr="00D30240">
              <w:rPr>
                <w:sz w:val="24"/>
                <w:szCs w:val="24"/>
              </w:rPr>
              <w:t>Rødt går derfor inn for at det innføres både minimums- og maksimumsstandarder for boligforbruk.»</w:t>
            </w:r>
          </w:p>
          <w:p w14:paraId="2DB89F0B" w14:textId="77777777" w:rsidR="004D0738" w:rsidRPr="00D30240" w:rsidRDefault="004D0738" w:rsidP="00987775">
            <w:pPr>
              <w:spacing w:line="240" w:lineRule="auto"/>
              <w:rPr>
                <w:sz w:val="24"/>
                <w:szCs w:val="24"/>
              </w:rPr>
            </w:pPr>
          </w:p>
        </w:tc>
      </w:tr>
      <w:tr w:rsidR="00D30240" w:rsidRPr="00D30240" w14:paraId="10FAD1B6"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A3DC6" w14:textId="77777777" w:rsidR="00D30240" w:rsidRDefault="00D30240" w:rsidP="00987775">
            <w:pPr>
              <w:spacing w:line="240" w:lineRule="auto"/>
              <w:rPr>
                <w:sz w:val="24"/>
                <w:szCs w:val="24"/>
                <w:lang w:val="nb-NO"/>
              </w:rPr>
            </w:pPr>
            <w:r w:rsidRPr="00D30240">
              <w:rPr>
                <w:b/>
                <w:sz w:val="24"/>
                <w:szCs w:val="24"/>
                <w:lang w:val="nb-NO"/>
              </w:rPr>
              <w:t xml:space="preserve">Begrunnelse: </w:t>
            </w:r>
            <w:r w:rsidRPr="00D30240">
              <w:rPr>
                <w:sz w:val="24"/>
                <w:szCs w:val="24"/>
                <w:lang w:val="nb-NO"/>
              </w:rPr>
              <w:t>Miljøperspektivet mangler helt i dette kapittelet. Maks-standard så vel som minimumsstandard for boligstørrelse, og virkemidler for å gjennomføre slike standarder, må inn. Nå står det bare noe om minimumsstandard. Hvis den samlete miljøbelastningen fra den norske boligmassen skal kunne reduseres til et økologisk forsvarlig og globalt solidarisk nivå, må bygging av store luksusboliger unngås. Samtidig er det nødvendig å unngå at økologiske krav blir brukt til å tvinge boligstandarden for dem med lavest inntekt nedover.</w:t>
            </w:r>
          </w:p>
          <w:p w14:paraId="6A24631A" w14:textId="77777777" w:rsidR="004D0738" w:rsidRPr="00D30240" w:rsidRDefault="004D0738" w:rsidP="00987775">
            <w:pPr>
              <w:spacing w:line="240" w:lineRule="auto"/>
              <w:rPr>
                <w:sz w:val="24"/>
                <w:szCs w:val="24"/>
                <w:lang w:val="nb-NO"/>
              </w:rPr>
            </w:pPr>
          </w:p>
        </w:tc>
      </w:tr>
    </w:tbl>
    <w:p w14:paraId="014BF0DD" w14:textId="77777777" w:rsidR="00D30240" w:rsidRPr="00D30240" w:rsidRDefault="00D30240" w:rsidP="00D30240">
      <w:pPr>
        <w:spacing w:line="240" w:lineRule="auto"/>
        <w:rPr>
          <w:sz w:val="24"/>
          <w:szCs w:val="24"/>
          <w:lang w:val="nb-NO"/>
        </w:rPr>
      </w:pPr>
    </w:p>
    <w:p w14:paraId="5963F52C" w14:textId="77777777" w:rsidR="00D30240" w:rsidRPr="00D30240" w:rsidRDefault="00D30240" w:rsidP="00D30240">
      <w:pPr>
        <w:rPr>
          <w:sz w:val="24"/>
          <w:szCs w:val="24"/>
          <w:lang w:val="nb-NO"/>
        </w:rPr>
      </w:pPr>
    </w:p>
    <w:p w14:paraId="6AC17D3D" w14:textId="77777777" w:rsidR="00D30240" w:rsidRPr="00D30240" w:rsidRDefault="00D30240" w:rsidP="00D30240">
      <w:pPr>
        <w:spacing w:line="240" w:lineRule="auto"/>
        <w:rPr>
          <w:sz w:val="24"/>
          <w:szCs w:val="24"/>
          <w:lang w:val="nb-NO"/>
        </w:rPr>
      </w:pPr>
    </w:p>
    <w:p w14:paraId="1BEE73D0" w14:textId="77777777" w:rsidR="00D30240" w:rsidRPr="00D30240" w:rsidRDefault="00D30240" w:rsidP="00D30240">
      <w:pPr>
        <w:spacing w:line="240" w:lineRule="auto"/>
        <w:rPr>
          <w:sz w:val="24"/>
          <w:szCs w:val="24"/>
          <w:lang w:val="nb-NO"/>
        </w:rPr>
      </w:pPr>
    </w:p>
    <w:p w14:paraId="3B46D146" w14:textId="77777777" w:rsidR="00D30240" w:rsidRPr="00D30240" w:rsidRDefault="00D30240" w:rsidP="00D30240">
      <w:pPr>
        <w:spacing w:line="240" w:lineRule="auto"/>
        <w:rPr>
          <w:sz w:val="24"/>
          <w:szCs w:val="24"/>
          <w:lang w:val="nb-NO"/>
        </w:rPr>
      </w:pPr>
    </w:p>
    <w:p w14:paraId="26D741CC" w14:textId="77777777" w:rsidR="00D30240" w:rsidRPr="00D30240" w:rsidRDefault="00D30240" w:rsidP="00D30240">
      <w:pPr>
        <w:spacing w:line="240" w:lineRule="auto"/>
        <w:rPr>
          <w:sz w:val="24"/>
          <w:szCs w:val="24"/>
          <w:lang w:val="nb-NO"/>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069"/>
        <w:gridCol w:w="5276"/>
      </w:tblGrid>
      <w:tr w:rsidR="00D30240" w:rsidRPr="00D30240" w14:paraId="3AEF0ADB" w14:textId="77777777" w:rsidTr="003501E8">
        <w:trPr>
          <w:trHeight w:val="540"/>
        </w:trPr>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0102" w14:textId="77777777" w:rsidR="00D30240" w:rsidRPr="00D30240" w:rsidRDefault="00D30240" w:rsidP="00987775">
            <w:pPr>
              <w:spacing w:line="240" w:lineRule="auto"/>
              <w:rPr>
                <w:sz w:val="24"/>
                <w:szCs w:val="24"/>
              </w:rPr>
            </w:pPr>
            <w:r w:rsidRPr="00D30240">
              <w:rPr>
                <w:b/>
                <w:sz w:val="24"/>
                <w:szCs w:val="24"/>
              </w:rPr>
              <w:t xml:space="preserve">Type forslag: </w:t>
            </w:r>
            <w:r w:rsidRPr="00D30240">
              <w:rPr>
                <w:sz w:val="24"/>
                <w:szCs w:val="24"/>
              </w:rPr>
              <w:t>Tillegg</w:t>
            </w:r>
          </w:p>
        </w:tc>
        <w:tc>
          <w:tcPr>
            <w:tcW w:w="527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A771A8" w14:textId="77777777" w:rsidR="003501E8" w:rsidRPr="004937FA" w:rsidRDefault="003501E8" w:rsidP="003501E8">
            <w:pPr>
              <w:spacing w:line="240" w:lineRule="auto"/>
              <w:rPr>
                <w:b/>
                <w:sz w:val="24"/>
                <w:szCs w:val="24"/>
                <w:lang w:val="nb-NO"/>
              </w:rPr>
            </w:pPr>
            <w:r w:rsidRPr="004937FA">
              <w:rPr>
                <w:b/>
                <w:sz w:val="24"/>
                <w:szCs w:val="24"/>
                <w:lang w:val="nb-NO"/>
              </w:rPr>
              <w:t xml:space="preserve">Forslagsstiller: Hjalmar Kolsaker </w:t>
            </w:r>
          </w:p>
          <w:p w14:paraId="59C02241" w14:textId="77777777" w:rsidR="00D30240" w:rsidRPr="00D30240" w:rsidRDefault="003501E8" w:rsidP="003501E8">
            <w:pPr>
              <w:spacing w:line="240" w:lineRule="auto"/>
              <w:rPr>
                <w:sz w:val="24"/>
                <w:szCs w:val="24"/>
                <w:lang w:val="nb-NO"/>
              </w:rPr>
            </w:pPr>
            <w:r w:rsidRPr="001F1060">
              <w:rPr>
                <w:sz w:val="24"/>
                <w:szCs w:val="24"/>
                <w:lang w:val="nb-NO"/>
              </w:rPr>
              <w:t>/ Rødt Oslos miljø- og samferdselsutvalg</w:t>
            </w:r>
          </w:p>
        </w:tc>
      </w:tr>
      <w:tr w:rsidR="00D30240" w:rsidRPr="00D30240" w14:paraId="7A24C79A" w14:textId="77777777" w:rsidTr="003501E8">
        <w:trPr>
          <w:trHeight w:val="555"/>
        </w:trPr>
        <w:tc>
          <w:tcPr>
            <w:tcW w:w="40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8034F8" w14:textId="77777777" w:rsidR="00D30240" w:rsidRPr="00D30240" w:rsidRDefault="00D30240" w:rsidP="00987775">
            <w:pPr>
              <w:spacing w:line="240" w:lineRule="auto"/>
              <w:rPr>
                <w:sz w:val="24"/>
                <w:szCs w:val="24"/>
              </w:rPr>
            </w:pPr>
            <w:r w:rsidRPr="00D30240">
              <w:rPr>
                <w:b/>
                <w:sz w:val="24"/>
                <w:szCs w:val="24"/>
              </w:rPr>
              <w:t xml:space="preserve">Kapittel: </w:t>
            </w:r>
            <w:r w:rsidRPr="00D30240">
              <w:rPr>
                <w:sz w:val="24"/>
                <w:szCs w:val="24"/>
              </w:rPr>
              <w:t>23</w:t>
            </w:r>
          </w:p>
        </w:tc>
        <w:tc>
          <w:tcPr>
            <w:tcW w:w="5276" w:type="dxa"/>
            <w:tcBorders>
              <w:bottom w:val="single" w:sz="8" w:space="0" w:color="000000"/>
              <w:right w:val="single" w:sz="8" w:space="0" w:color="000000"/>
            </w:tcBorders>
            <w:tcMar>
              <w:top w:w="100" w:type="dxa"/>
              <w:left w:w="100" w:type="dxa"/>
              <w:bottom w:w="100" w:type="dxa"/>
              <w:right w:w="100" w:type="dxa"/>
            </w:tcMar>
          </w:tcPr>
          <w:p w14:paraId="747CFDE2" w14:textId="77777777" w:rsidR="00D30240" w:rsidRPr="00D30240" w:rsidRDefault="00D30240" w:rsidP="003501E8">
            <w:pPr>
              <w:tabs>
                <w:tab w:val="center" w:pos="2538"/>
              </w:tabs>
              <w:spacing w:line="240" w:lineRule="auto"/>
              <w:rPr>
                <w:sz w:val="24"/>
                <w:szCs w:val="24"/>
              </w:rPr>
            </w:pPr>
            <w:r w:rsidRPr="00D30240">
              <w:rPr>
                <w:b/>
                <w:sz w:val="24"/>
                <w:szCs w:val="24"/>
              </w:rPr>
              <w:t xml:space="preserve">Punkt: </w:t>
            </w:r>
            <w:r w:rsidRPr="00D30240">
              <w:rPr>
                <w:sz w:val="24"/>
                <w:szCs w:val="24"/>
              </w:rPr>
              <w:t>23.3 a</w:t>
            </w:r>
            <w:r w:rsidR="003501E8">
              <w:rPr>
                <w:sz w:val="24"/>
                <w:szCs w:val="24"/>
              </w:rPr>
              <w:t xml:space="preserve"> </w:t>
            </w:r>
            <w:r w:rsidR="003501E8">
              <w:rPr>
                <w:rFonts w:ascii="Helvetica" w:eastAsiaTheme="minorEastAsia" w:hAnsi="Helvetica" w:cs="Helvetica"/>
                <w:b/>
                <w:bCs/>
                <w:sz w:val="24"/>
                <w:szCs w:val="24"/>
                <w:lang w:val="en-US" w:eastAsia="nb-NO"/>
              </w:rPr>
              <w:t>Boligstandard og byplanlegging </w:t>
            </w:r>
          </w:p>
        </w:tc>
      </w:tr>
      <w:tr w:rsidR="00D30240" w:rsidRPr="00D30240" w14:paraId="5D5E9AC5" w14:textId="77777777" w:rsidTr="003501E8">
        <w:trPr>
          <w:trHeight w:val="555"/>
        </w:trPr>
        <w:tc>
          <w:tcPr>
            <w:tcW w:w="40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0A4C90" w14:textId="77777777" w:rsidR="00D30240" w:rsidRPr="00D30240" w:rsidRDefault="00D30240" w:rsidP="00987775">
            <w:pPr>
              <w:spacing w:line="240" w:lineRule="auto"/>
              <w:rPr>
                <w:sz w:val="24"/>
                <w:szCs w:val="24"/>
              </w:rPr>
            </w:pPr>
            <w:r w:rsidRPr="00D30240">
              <w:rPr>
                <w:b/>
                <w:sz w:val="24"/>
                <w:szCs w:val="24"/>
              </w:rPr>
              <w:t xml:space="preserve">Linjenummer: </w:t>
            </w:r>
            <w:r w:rsidRPr="00D30240">
              <w:rPr>
                <w:sz w:val="24"/>
                <w:szCs w:val="24"/>
              </w:rPr>
              <w:t>2430-2432</w:t>
            </w:r>
          </w:p>
        </w:tc>
        <w:tc>
          <w:tcPr>
            <w:tcW w:w="5276" w:type="dxa"/>
            <w:tcBorders>
              <w:bottom w:val="single" w:sz="8" w:space="0" w:color="000000"/>
              <w:right w:val="single" w:sz="8" w:space="0" w:color="000000"/>
            </w:tcBorders>
            <w:tcMar>
              <w:top w:w="100" w:type="dxa"/>
              <w:left w:w="100" w:type="dxa"/>
              <w:bottom w:w="100" w:type="dxa"/>
              <w:right w:w="100" w:type="dxa"/>
            </w:tcMar>
          </w:tcPr>
          <w:p w14:paraId="562826A0" w14:textId="77777777" w:rsidR="00D30240" w:rsidRPr="00D30240" w:rsidRDefault="00D30240" w:rsidP="00987775">
            <w:pPr>
              <w:spacing w:line="240" w:lineRule="auto"/>
              <w:rPr>
                <w:sz w:val="24"/>
                <w:szCs w:val="24"/>
              </w:rPr>
            </w:pPr>
          </w:p>
        </w:tc>
      </w:tr>
      <w:tr w:rsidR="00D30240" w:rsidRPr="00D30240" w14:paraId="52965D4E" w14:textId="77777777" w:rsidTr="00987775">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1645ED2" w14:textId="77777777" w:rsidR="00D30240" w:rsidRPr="00D30240" w:rsidRDefault="00D30240" w:rsidP="00987775">
            <w:pPr>
              <w:spacing w:line="240" w:lineRule="auto"/>
              <w:rPr>
                <w:sz w:val="24"/>
                <w:szCs w:val="24"/>
                <w:lang w:val="nb-NO"/>
              </w:rPr>
            </w:pPr>
            <w:r w:rsidRPr="00D30240">
              <w:rPr>
                <w:b/>
                <w:sz w:val="24"/>
                <w:szCs w:val="24"/>
                <w:lang w:val="nb-NO"/>
              </w:rPr>
              <w:t xml:space="preserve">Opprinnelig punkt: </w:t>
            </w:r>
            <w:r w:rsidRPr="00D30240">
              <w:rPr>
                <w:sz w:val="24"/>
                <w:szCs w:val="24"/>
                <w:lang w:val="nb-NO"/>
              </w:rPr>
              <w:t>Transport- og arealpolitikken må utformes for å spare energi og natur ved å hindre byspredning. Dette krever blant annet at nye boområder utformes bymessig og legges i eller nær eksisterende byer og tettsteder.</w:t>
            </w:r>
          </w:p>
        </w:tc>
      </w:tr>
      <w:tr w:rsidR="00D30240" w:rsidRPr="00D30240" w14:paraId="53D026ED"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649F5" w14:textId="77777777" w:rsidR="00D30240" w:rsidRPr="00D30240" w:rsidRDefault="00D30240" w:rsidP="00987775">
            <w:pPr>
              <w:spacing w:line="240" w:lineRule="auto"/>
              <w:rPr>
                <w:sz w:val="24"/>
                <w:szCs w:val="24"/>
                <w:lang w:val="nb-NO"/>
              </w:rPr>
            </w:pPr>
            <w:r w:rsidRPr="00D30240">
              <w:rPr>
                <w:b/>
                <w:sz w:val="24"/>
                <w:szCs w:val="24"/>
                <w:lang w:val="nb-NO"/>
              </w:rPr>
              <w:t>Nyt tekst:</w:t>
            </w:r>
            <w:r w:rsidRPr="00D30240">
              <w:rPr>
                <w:sz w:val="24"/>
                <w:szCs w:val="24"/>
                <w:lang w:val="nb-NO"/>
              </w:rPr>
              <w:t xml:space="preserve"> Transport- og arealpolitikken må utformes for å spare energi og natur ved å hindre byspredning. Dette krever blant annet at nye boområder i storbyområdene utformes bymessig og legges i eller nær eksisterende byer og tettsteder.</w:t>
            </w:r>
          </w:p>
        </w:tc>
      </w:tr>
      <w:tr w:rsidR="00D30240" w:rsidRPr="00D30240" w14:paraId="7F375A68"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233BA" w14:textId="77777777" w:rsidR="00D30240" w:rsidRPr="00D30240" w:rsidRDefault="00D30240" w:rsidP="00987775">
            <w:pPr>
              <w:spacing w:line="240" w:lineRule="auto"/>
              <w:rPr>
                <w:sz w:val="24"/>
                <w:szCs w:val="24"/>
                <w:lang w:val="nb-NO"/>
              </w:rPr>
            </w:pPr>
            <w:r w:rsidRPr="00D30240">
              <w:rPr>
                <w:b/>
                <w:sz w:val="24"/>
                <w:szCs w:val="24"/>
                <w:lang w:val="nb-NO"/>
              </w:rPr>
              <w:t xml:space="preserve">Begrunnelse: </w:t>
            </w:r>
            <w:r w:rsidRPr="00D30240">
              <w:rPr>
                <w:sz w:val="24"/>
                <w:szCs w:val="24"/>
                <w:lang w:val="nb-NO"/>
              </w:rPr>
              <w:t>I distrikts-Norge bør det ikke være et krav at nye boområder utformes bymessig, selv om dette er et veldig fornuftig krav i storbyområdene.</w:t>
            </w:r>
          </w:p>
        </w:tc>
      </w:tr>
    </w:tbl>
    <w:p w14:paraId="09944118" w14:textId="77777777" w:rsidR="00D30240" w:rsidRPr="00D30240" w:rsidRDefault="00D30240" w:rsidP="00D30240">
      <w:pPr>
        <w:rPr>
          <w:sz w:val="24"/>
          <w:szCs w:val="24"/>
          <w:lang w:val="nb-NO"/>
        </w:rPr>
      </w:pPr>
    </w:p>
    <w:p w14:paraId="1791EC32" w14:textId="77777777" w:rsidR="00D30240" w:rsidRPr="00D30240" w:rsidRDefault="00D30240" w:rsidP="00D30240">
      <w:pPr>
        <w:spacing w:line="240" w:lineRule="auto"/>
        <w:rPr>
          <w:sz w:val="24"/>
          <w:szCs w:val="24"/>
          <w:lang w:val="nb-NO"/>
        </w:rPr>
      </w:pPr>
    </w:p>
    <w:p w14:paraId="541EEFA9" w14:textId="77777777" w:rsidR="00D30240" w:rsidRPr="00D30240" w:rsidRDefault="00D30240" w:rsidP="00D30240">
      <w:pPr>
        <w:spacing w:line="240" w:lineRule="auto"/>
        <w:rPr>
          <w:sz w:val="24"/>
          <w:szCs w:val="24"/>
          <w:lang w:val="nb-NO"/>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069"/>
        <w:gridCol w:w="5276"/>
      </w:tblGrid>
      <w:tr w:rsidR="00D30240" w:rsidRPr="00D30240" w14:paraId="58A8048D" w14:textId="77777777" w:rsidTr="003501E8">
        <w:trPr>
          <w:trHeight w:val="540"/>
        </w:trPr>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D1AC2" w14:textId="77777777" w:rsidR="00D30240" w:rsidRPr="00D30240" w:rsidRDefault="00D30240" w:rsidP="00987775">
            <w:pPr>
              <w:spacing w:line="240" w:lineRule="auto"/>
              <w:rPr>
                <w:sz w:val="24"/>
                <w:szCs w:val="24"/>
              </w:rPr>
            </w:pPr>
            <w:r w:rsidRPr="00D30240">
              <w:rPr>
                <w:b/>
                <w:sz w:val="24"/>
                <w:szCs w:val="24"/>
              </w:rPr>
              <w:t xml:space="preserve">Type forslag: </w:t>
            </w:r>
            <w:r w:rsidRPr="00D30240">
              <w:rPr>
                <w:sz w:val="24"/>
                <w:szCs w:val="24"/>
              </w:rPr>
              <w:t>Endring</w:t>
            </w:r>
          </w:p>
        </w:tc>
        <w:tc>
          <w:tcPr>
            <w:tcW w:w="527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5861B0" w14:textId="77777777" w:rsidR="003501E8" w:rsidRPr="004937FA" w:rsidRDefault="003501E8" w:rsidP="003501E8">
            <w:pPr>
              <w:spacing w:line="240" w:lineRule="auto"/>
              <w:rPr>
                <w:b/>
                <w:sz w:val="24"/>
                <w:szCs w:val="24"/>
                <w:lang w:val="nb-NO"/>
              </w:rPr>
            </w:pPr>
            <w:r w:rsidRPr="004937FA">
              <w:rPr>
                <w:b/>
                <w:sz w:val="24"/>
                <w:szCs w:val="24"/>
                <w:lang w:val="nb-NO"/>
              </w:rPr>
              <w:t xml:space="preserve">Forslagsstiller: Hjalmar Kolsaker </w:t>
            </w:r>
          </w:p>
          <w:p w14:paraId="0BA87548" w14:textId="77777777" w:rsidR="00D30240" w:rsidRPr="00D30240" w:rsidRDefault="003501E8" w:rsidP="003501E8">
            <w:pPr>
              <w:spacing w:line="240" w:lineRule="auto"/>
              <w:rPr>
                <w:sz w:val="24"/>
                <w:szCs w:val="24"/>
                <w:lang w:val="nb-NO"/>
              </w:rPr>
            </w:pPr>
            <w:r w:rsidRPr="001F1060">
              <w:rPr>
                <w:sz w:val="24"/>
                <w:szCs w:val="24"/>
                <w:lang w:val="nb-NO"/>
              </w:rPr>
              <w:t>/ Rødt Oslos miljø- og samferdselsutvalg</w:t>
            </w:r>
          </w:p>
        </w:tc>
      </w:tr>
      <w:tr w:rsidR="00D30240" w:rsidRPr="00D30240" w14:paraId="4C7684C8" w14:textId="77777777" w:rsidTr="003501E8">
        <w:trPr>
          <w:trHeight w:val="555"/>
        </w:trPr>
        <w:tc>
          <w:tcPr>
            <w:tcW w:w="40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C3744F" w14:textId="77777777" w:rsidR="00D30240" w:rsidRPr="00D30240" w:rsidRDefault="00D30240" w:rsidP="00987775">
            <w:pPr>
              <w:spacing w:line="240" w:lineRule="auto"/>
              <w:rPr>
                <w:sz w:val="24"/>
                <w:szCs w:val="24"/>
              </w:rPr>
            </w:pPr>
            <w:r w:rsidRPr="00D30240">
              <w:rPr>
                <w:b/>
                <w:sz w:val="24"/>
                <w:szCs w:val="24"/>
              </w:rPr>
              <w:t xml:space="preserve">Kapittel: </w:t>
            </w:r>
            <w:r w:rsidRPr="00D30240">
              <w:rPr>
                <w:sz w:val="24"/>
                <w:szCs w:val="24"/>
              </w:rPr>
              <w:t>23</w:t>
            </w:r>
          </w:p>
        </w:tc>
        <w:tc>
          <w:tcPr>
            <w:tcW w:w="5276" w:type="dxa"/>
            <w:tcBorders>
              <w:bottom w:val="single" w:sz="8" w:space="0" w:color="000000"/>
              <w:right w:val="single" w:sz="8" w:space="0" w:color="000000"/>
            </w:tcBorders>
            <w:tcMar>
              <w:top w:w="100" w:type="dxa"/>
              <w:left w:w="100" w:type="dxa"/>
              <w:bottom w:w="100" w:type="dxa"/>
              <w:right w:w="100" w:type="dxa"/>
            </w:tcMar>
          </w:tcPr>
          <w:p w14:paraId="2551C16F" w14:textId="77777777" w:rsidR="00D30240" w:rsidRPr="00D30240" w:rsidRDefault="00D30240" w:rsidP="00987775">
            <w:pPr>
              <w:spacing w:line="240" w:lineRule="auto"/>
              <w:rPr>
                <w:sz w:val="24"/>
                <w:szCs w:val="24"/>
              </w:rPr>
            </w:pPr>
            <w:r w:rsidRPr="00D30240">
              <w:rPr>
                <w:b/>
                <w:sz w:val="24"/>
                <w:szCs w:val="24"/>
              </w:rPr>
              <w:t xml:space="preserve">Punkt: </w:t>
            </w:r>
            <w:r w:rsidRPr="00D30240">
              <w:rPr>
                <w:sz w:val="24"/>
                <w:szCs w:val="24"/>
              </w:rPr>
              <w:t>23.3 b</w:t>
            </w:r>
            <w:r w:rsidR="003501E8">
              <w:rPr>
                <w:sz w:val="24"/>
                <w:szCs w:val="24"/>
              </w:rPr>
              <w:t xml:space="preserve"> </w:t>
            </w:r>
            <w:r w:rsidR="003501E8">
              <w:rPr>
                <w:rFonts w:ascii="Helvetica" w:eastAsiaTheme="minorEastAsia" w:hAnsi="Helvetica" w:cs="Helvetica"/>
                <w:b/>
                <w:bCs/>
                <w:sz w:val="24"/>
                <w:szCs w:val="24"/>
                <w:lang w:val="en-US" w:eastAsia="nb-NO"/>
              </w:rPr>
              <w:t>Boligstandard og byplanlegging </w:t>
            </w:r>
          </w:p>
        </w:tc>
      </w:tr>
      <w:tr w:rsidR="00D30240" w:rsidRPr="00D30240" w14:paraId="30AFD258" w14:textId="77777777" w:rsidTr="003501E8">
        <w:trPr>
          <w:trHeight w:val="555"/>
        </w:trPr>
        <w:tc>
          <w:tcPr>
            <w:tcW w:w="40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D0D51A" w14:textId="77777777" w:rsidR="00D30240" w:rsidRPr="00D30240" w:rsidRDefault="00D30240" w:rsidP="00987775">
            <w:pPr>
              <w:spacing w:line="240" w:lineRule="auto"/>
              <w:rPr>
                <w:sz w:val="24"/>
                <w:szCs w:val="24"/>
              </w:rPr>
            </w:pPr>
            <w:r w:rsidRPr="00D30240">
              <w:rPr>
                <w:b/>
                <w:sz w:val="24"/>
                <w:szCs w:val="24"/>
              </w:rPr>
              <w:t xml:space="preserve">Linjenummer: </w:t>
            </w:r>
            <w:r w:rsidRPr="00D30240">
              <w:rPr>
                <w:sz w:val="24"/>
                <w:szCs w:val="24"/>
              </w:rPr>
              <w:t>2434</w:t>
            </w:r>
          </w:p>
        </w:tc>
        <w:tc>
          <w:tcPr>
            <w:tcW w:w="5276" w:type="dxa"/>
            <w:tcBorders>
              <w:bottom w:val="single" w:sz="8" w:space="0" w:color="000000"/>
              <w:right w:val="single" w:sz="8" w:space="0" w:color="000000"/>
            </w:tcBorders>
            <w:tcMar>
              <w:top w:w="100" w:type="dxa"/>
              <w:left w:w="100" w:type="dxa"/>
              <w:bottom w:w="100" w:type="dxa"/>
              <w:right w:w="100" w:type="dxa"/>
            </w:tcMar>
          </w:tcPr>
          <w:p w14:paraId="5B8C4E97" w14:textId="77777777" w:rsidR="00D30240" w:rsidRPr="00D30240" w:rsidRDefault="00D30240" w:rsidP="00987775">
            <w:pPr>
              <w:spacing w:line="240" w:lineRule="auto"/>
              <w:rPr>
                <w:sz w:val="24"/>
                <w:szCs w:val="24"/>
              </w:rPr>
            </w:pPr>
          </w:p>
        </w:tc>
      </w:tr>
      <w:tr w:rsidR="00D30240" w:rsidRPr="00D30240" w14:paraId="05CDEC3B" w14:textId="77777777" w:rsidTr="00987775">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4254B7D" w14:textId="77777777" w:rsidR="00D30240" w:rsidRPr="00D30240" w:rsidRDefault="00D30240" w:rsidP="00987775">
            <w:pPr>
              <w:spacing w:line="240" w:lineRule="auto"/>
              <w:rPr>
                <w:sz w:val="24"/>
                <w:szCs w:val="24"/>
                <w:lang w:val="nb-NO"/>
              </w:rPr>
            </w:pPr>
            <w:r w:rsidRPr="00D30240">
              <w:rPr>
                <w:b/>
                <w:sz w:val="24"/>
                <w:szCs w:val="24"/>
                <w:lang w:val="nb-NO"/>
              </w:rPr>
              <w:t xml:space="preserve">Opprinnelig punkt: </w:t>
            </w:r>
            <w:r w:rsidRPr="00D30240">
              <w:rPr>
                <w:sz w:val="24"/>
                <w:szCs w:val="24"/>
                <w:lang w:val="nb-NO"/>
              </w:rPr>
              <w:t>Nye boligområder bør sikres gode utearealer for alle aldersgrupper med tilfredsstillende solforhold, minst fem timer ved vår- og høstjevndøgn.</w:t>
            </w:r>
          </w:p>
        </w:tc>
      </w:tr>
      <w:tr w:rsidR="00D30240" w:rsidRPr="00D30240" w14:paraId="4DE7D023"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C438A" w14:textId="77777777" w:rsidR="00D30240" w:rsidRPr="00D30240" w:rsidRDefault="00D30240" w:rsidP="00987775">
            <w:pPr>
              <w:spacing w:line="240" w:lineRule="auto"/>
              <w:rPr>
                <w:sz w:val="24"/>
                <w:szCs w:val="24"/>
              </w:rPr>
            </w:pPr>
            <w:r w:rsidRPr="00D30240">
              <w:rPr>
                <w:b/>
                <w:sz w:val="24"/>
                <w:szCs w:val="24"/>
              </w:rPr>
              <w:t xml:space="preserve">Nytt punkt: </w:t>
            </w:r>
            <w:r w:rsidRPr="00D30240">
              <w:rPr>
                <w:sz w:val="24"/>
                <w:szCs w:val="24"/>
              </w:rPr>
              <w:t>Nye boligområder bør sikres gode utearealer for alle aldersgrupper med tilfredsstillende solforhold.</w:t>
            </w:r>
          </w:p>
        </w:tc>
      </w:tr>
      <w:tr w:rsidR="00D30240" w:rsidRPr="00D30240" w14:paraId="1ED18D07"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8A1BC" w14:textId="77777777" w:rsidR="00D30240" w:rsidRPr="00D30240" w:rsidRDefault="00D30240" w:rsidP="00987775">
            <w:pPr>
              <w:spacing w:line="240" w:lineRule="auto"/>
              <w:rPr>
                <w:sz w:val="24"/>
                <w:szCs w:val="24"/>
              </w:rPr>
            </w:pPr>
            <w:r w:rsidRPr="00D30240">
              <w:rPr>
                <w:b/>
                <w:sz w:val="24"/>
                <w:szCs w:val="24"/>
                <w:lang w:val="nb-NO"/>
              </w:rPr>
              <w:t xml:space="preserve">Begrunnelse: </w:t>
            </w:r>
            <w:r w:rsidRPr="00D30240">
              <w:rPr>
                <w:sz w:val="24"/>
                <w:szCs w:val="24"/>
                <w:lang w:val="nb-NO"/>
              </w:rPr>
              <w:t xml:space="preserve">Foreslår å stryke “minst fem timer ved vår- og høstjevndøgn” fordi det er veldig uklart. Hvor skal utearealene som oppfyller dette kriteriet ligge? Er det nok at det gjelder en park, gresslette eller skogholt nær boligen? </w:t>
            </w:r>
            <w:r w:rsidRPr="00D30240">
              <w:rPr>
                <w:sz w:val="24"/>
                <w:szCs w:val="24"/>
              </w:rPr>
              <w:t>Hvor store arealer? Hva med takterrasser?</w:t>
            </w:r>
          </w:p>
        </w:tc>
      </w:tr>
    </w:tbl>
    <w:p w14:paraId="681C1650" w14:textId="77777777" w:rsidR="00D30240" w:rsidRPr="00D30240" w:rsidRDefault="00D30240" w:rsidP="00D30240">
      <w:pPr>
        <w:rPr>
          <w:sz w:val="24"/>
          <w:szCs w:val="24"/>
        </w:rPr>
      </w:pPr>
    </w:p>
    <w:p w14:paraId="1890F3ED" w14:textId="77777777" w:rsidR="00D30240" w:rsidRPr="00D30240" w:rsidRDefault="00D30240" w:rsidP="00D30240">
      <w:pPr>
        <w:spacing w:line="240" w:lineRule="auto"/>
        <w:rPr>
          <w:sz w:val="24"/>
          <w:szCs w:val="24"/>
        </w:rPr>
      </w:pPr>
    </w:p>
    <w:p w14:paraId="0BEA7E0D" w14:textId="77777777" w:rsidR="00D30240" w:rsidRPr="00D30240" w:rsidRDefault="00D30240" w:rsidP="00D30240">
      <w:pPr>
        <w:spacing w:line="240" w:lineRule="auto"/>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069"/>
        <w:gridCol w:w="5276"/>
      </w:tblGrid>
      <w:tr w:rsidR="00D30240" w:rsidRPr="00D30240" w14:paraId="692CE620" w14:textId="77777777" w:rsidTr="003501E8">
        <w:trPr>
          <w:trHeight w:val="570"/>
        </w:trPr>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27FFB" w14:textId="77777777" w:rsidR="00D30240" w:rsidRPr="00D30240" w:rsidRDefault="00D30240" w:rsidP="00987775">
            <w:pPr>
              <w:spacing w:line="240" w:lineRule="auto"/>
              <w:rPr>
                <w:sz w:val="24"/>
                <w:szCs w:val="24"/>
              </w:rPr>
            </w:pPr>
            <w:r w:rsidRPr="00D30240">
              <w:rPr>
                <w:b/>
                <w:sz w:val="24"/>
                <w:szCs w:val="24"/>
              </w:rPr>
              <w:t xml:space="preserve">Type forslag: </w:t>
            </w:r>
            <w:r w:rsidRPr="00D30240">
              <w:rPr>
                <w:sz w:val="24"/>
                <w:szCs w:val="24"/>
              </w:rPr>
              <w:t>Tillegg</w:t>
            </w:r>
          </w:p>
        </w:tc>
        <w:tc>
          <w:tcPr>
            <w:tcW w:w="527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24900F" w14:textId="77777777" w:rsidR="003501E8" w:rsidRPr="004937FA" w:rsidRDefault="003501E8" w:rsidP="003501E8">
            <w:pPr>
              <w:spacing w:line="240" w:lineRule="auto"/>
              <w:rPr>
                <w:b/>
                <w:sz w:val="24"/>
                <w:szCs w:val="24"/>
                <w:lang w:val="nb-NO"/>
              </w:rPr>
            </w:pPr>
            <w:r w:rsidRPr="004937FA">
              <w:rPr>
                <w:b/>
                <w:sz w:val="24"/>
                <w:szCs w:val="24"/>
                <w:lang w:val="nb-NO"/>
              </w:rPr>
              <w:t xml:space="preserve">Forslagsstiller: Hjalmar Kolsaker </w:t>
            </w:r>
          </w:p>
          <w:p w14:paraId="64B75B0D" w14:textId="77777777" w:rsidR="00D30240" w:rsidRPr="00D30240" w:rsidRDefault="003501E8" w:rsidP="003501E8">
            <w:pPr>
              <w:spacing w:line="240" w:lineRule="auto"/>
              <w:rPr>
                <w:sz w:val="24"/>
                <w:szCs w:val="24"/>
                <w:lang w:val="nb-NO"/>
              </w:rPr>
            </w:pPr>
            <w:r w:rsidRPr="001F1060">
              <w:rPr>
                <w:sz w:val="24"/>
                <w:szCs w:val="24"/>
                <w:lang w:val="nb-NO"/>
              </w:rPr>
              <w:t>/ Rødt Oslos miljø- og samferdselsutvalg</w:t>
            </w:r>
          </w:p>
        </w:tc>
      </w:tr>
      <w:tr w:rsidR="00D30240" w:rsidRPr="00D30240" w14:paraId="784E3226" w14:textId="77777777" w:rsidTr="003501E8">
        <w:trPr>
          <w:trHeight w:val="555"/>
        </w:trPr>
        <w:tc>
          <w:tcPr>
            <w:tcW w:w="40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8542BF" w14:textId="77777777" w:rsidR="00D30240" w:rsidRPr="00D30240" w:rsidRDefault="00D30240" w:rsidP="00987775">
            <w:pPr>
              <w:spacing w:line="240" w:lineRule="auto"/>
              <w:rPr>
                <w:sz w:val="24"/>
                <w:szCs w:val="24"/>
              </w:rPr>
            </w:pPr>
            <w:r w:rsidRPr="00D30240">
              <w:rPr>
                <w:b/>
                <w:sz w:val="24"/>
                <w:szCs w:val="24"/>
              </w:rPr>
              <w:t xml:space="preserve">Kapittel: </w:t>
            </w:r>
            <w:r w:rsidRPr="00D30240">
              <w:rPr>
                <w:sz w:val="24"/>
                <w:szCs w:val="24"/>
              </w:rPr>
              <w:t>23</w:t>
            </w:r>
          </w:p>
        </w:tc>
        <w:tc>
          <w:tcPr>
            <w:tcW w:w="5276" w:type="dxa"/>
            <w:tcBorders>
              <w:bottom w:val="single" w:sz="8" w:space="0" w:color="000000"/>
              <w:right w:val="single" w:sz="8" w:space="0" w:color="000000"/>
            </w:tcBorders>
            <w:tcMar>
              <w:top w:w="100" w:type="dxa"/>
              <w:left w:w="100" w:type="dxa"/>
              <w:bottom w:w="100" w:type="dxa"/>
              <w:right w:w="100" w:type="dxa"/>
            </w:tcMar>
          </w:tcPr>
          <w:p w14:paraId="655E9385" w14:textId="77777777" w:rsidR="00D30240" w:rsidRPr="00D30240" w:rsidRDefault="00D30240" w:rsidP="00987775">
            <w:pPr>
              <w:spacing w:line="240" w:lineRule="auto"/>
              <w:rPr>
                <w:sz w:val="24"/>
                <w:szCs w:val="24"/>
              </w:rPr>
            </w:pPr>
            <w:r w:rsidRPr="00D30240">
              <w:rPr>
                <w:b/>
                <w:sz w:val="24"/>
                <w:szCs w:val="24"/>
              </w:rPr>
              <w:t xml:space="preserve">Punkt: </w:t>
            </w:r>
            <w:r w:rsidRPr="00D30240">
              <w:rPr>
                <w:sz w:val="24"/>
                <w:szCs w:val="24"/>
              </w:rPr>
              <w:t>23.4 e</w:t>
            </w:r>
            <w:r w:rsidR="003501E8">
              <w:rPr>
                <w:sz w:val="24"/>
                <w:szCs w:val="24"/>
              </w:rPr>
              <w:t xml:space="preserve"> </w:t>
            </w:r>
            <w:r w:rsidR="003501E8">
              <w:rPr>
                <w:rFonts w:ascii="Helvetica" w:eastAsiaTheme="minorEastAsia" w:hAnsi="Helvetica" w:cs="Helvetica"/>
                <w:b/>
                <w:bCs/>
                <w:sz w:val="24"/>
                <w:szCs w:val="24"/>
                <w:lang w:val="en-US" w:eastAsia="nb-NO"/>
              </w:rPr>
              <w:t>Stanse boligspekulasjonen </w:t>
            </w:r>
          </w:p>
        </w:tc>
      </w:tr>
      <w:tr w:rsidR="00D30240" w:rsidRPr="00D30240" w14:paraId="0675AF50" w14:textId="77777777" w:rsidTr="003501E8">
        <w:trPr>
          <w:trHeight w:val="555"/>
        </w:trPr>
        <w:tc>
          <w:tcPr>
            <w:tcW w:w="40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E6DE07" w14:textId="77777777" w:rsidR="00D30240" w:rsidRPr="00D30240" w:rsidRDefault="00D30240" w:rsidP="00987775">
            <w:pPr>
              <w:spacing w:line="240" w:lineRule="auto"/>
              <w:rPr>
                <w:sz w:val="24"/>
                <w:szCs w:val="24"/>
              </w:rPr>
            </w:pPr>
            <w:r w:rsidRPr="00D30240">
              <w:rPr>
                <w:b/>
                <w:sz w:val="24"/>
                <w:szCs w:val="24"/>
              </w:rPr>
              <w:t xml:space="preserve">Linjenummer: </w:t>
            </w:r>
            <w:r w:rsidRPr="00D30240">
              <w:rPr>
                <w:sz w:val="24"/>
                <w:szCs w:val="24"/>
              </w:rPr>
              <w:t>2457-2458</w:t>
            </w:r>
          </w:p>
        </w:tc>
        <w:tc>
          <w:tcPr>
            <w:tcW w:w="5276" w:type="dxa"/>
            <w:tcBorders>
              <w:bottom w:val="single" w:sz="8" w:space="0" w:color="000000"/>
              <w:right w:val="single" w:sz="8" w:space="0" w:color="000000"/>
            </w:tcBorders>
            <w:tcMar>
              <w:top w:w="100" w:type="dxa"/>
              <w:left w:w="100" w:type="dxa"/>
              <w:bottom w:w="100" w:type="dxa"/>
              <w:right w:w="100" w:type="dxa"/>
            </w:tcMar>
          </w:tcPr>
          <w:p w14:paraId="35E0A70F" w14:textId="77777777" w:rsidR="00D30240" w:rsidRPr="00D30240" w:rsidRDefault="00D30240" w:rsidP="00987775">
            <w:pPr>
              <w:spacing w:line="240" w:lineRule="auto"/>
              <w:rPr>
                <w:sz w:val="24"/>
                <w:szCs w:val="24"/>
              </w:rPr>
            </w:pPr>
          </w:p>
        </w:tc>
      </w:tr>
      <w:tr w:rsidR="00D30240" w:rsidRPr="00D30240" w14:paraId="22687B98" w14:textId="77777777" w:rsidTr="00987775">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BD340C3" w14:textId="77777777" w:rsidR="00D30240" w:rsidRPr="00D30240" w:rsidRDefault="00D30240" w:rsidP="00987775">
            <w:pPr>
              <w:spacing w:line="240" w:lineRule="auto"/>
              <w:rPr>
                <w:sz w:val="24"/>
                <w:szCs w:val="24"/>
                <w:lang w:val="nb-NO"/>
              </w:rPr>
            </w:pPr>
            <w:r w:rsidRPr="00D30240">
              <w:rPr>
                <w:b/>
                <w:sz w:val="24"/>
                <w:szCs w:val="24"/>
                <w:lang w:val="nb-NO"/>
              </w:rPr>
              <w:t xml:space="preserve">Opprinnelig punkt: </w:t>
            </w:r>
            <w:r w:rsidRPr="00D30240">
              <w:rPr>
                <w:sz w:val="24"/>
                <w:szCs w:val="24"/>
                <w:lang w:val="nb-NO"/>
              </w:rPr>
              <w:t>For å begrense at utleiemarkedet blir overtatt av korttidsleie og ikke dem som har behov for å leie lenger, bør utleie via tredjeparter som AirBnB kun være lovlig i inntil 60 dager i året.</w:t>
            </w:r>
          </w:p>
        </w:tc>
      </w:tr>
      <w:tr w:rsidR="00D30240" w:rsidRPr="00D30240" w14:paraId="26CAA5AA"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A2859" w14:textId="77777777" w:rsidR="00D30240" w:rsidRPr="00D30240" w:rsidRDefault="00D30240" w:rsidP="00987775">
            <w:pPr>
              <w:spacing w:line="240" w:lineRule="auto"/>
              <w:rPr>
                <w:sz w:val="24"/>
                <w:szCs w:val="24"/>
                <w:lang w:val="nb-NO"/>
              </w:rPr>
            </w:pPr>
            <w:r w:rsidRPr="00D30240">
              <w:rPr>
                <w:b/>
                <w:sz w:val="24"/>
                <w:szCs w:val="24"/>
                <w:lang w:val="nb-NO"/>
              </w:rPr>
              <w:t xml:space="preserve">Ny tekst: </w:t>
            </w:r>
            <w:r w:rsidRPr="00D30240">
              <w:rPr>
                <w:sz w:val="24"/>
                <w:szCs w:val="24"/>
                <w:lang w:val="nb-NO"/>
              </w:rPr>
              <w:t>For å begrense at utleiemarkedet blir overtatt av korttidsleie og ikke dem som har behov for å leie lenger, bør utleie via tredjeparter som AirBnB kun være lovlig i inntil 60 dager i året, unntatt utleie av et rom i en bolig der utleieren bor samtidig med at rommet leies ut.</w:t>
            </w:r>
          </w:p>
        </w:tc>
      </w:tr>
      <w:tr w:rsidR="00D30240" w:rsidRPr="00D30240" w14:paraId="53DB786D"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24199" w14:textId="77777777" w:rsidR="00D30240" w:rsidRPr="00D30240" w:rsidRDefault="00D30240" w:rsidP="00987775">
            <w:pPr>
              <w:spacing w:line="240" w:lineRule="auto"/>
              <w:rPr>
                <w:sz w:val="24"/>
                <w:szCs w:val="24"/>
              </w:rPr>
            </w:pPr>
            <w:r w:rsidRPr="00D30240">
              <w:rPr>
                <w:b/>
                <w:sz w:val="24"/>
                <w:szCs w:val="24"/>
                <w:lang w:val="nb-NO"/>
              </w:rPr>
              <w:t xml:space="preserve">Begrunnelse: </w:t>
            </w:r>
            <w:r w:rsidRPr="00D30240">
              <w:rPr>
                <w:sz w:val="24"/>
                <w:szCs w:val="24"/>
                <w:lang w:val="nb-NO"/>
              </w:rPr>
              <w:t xml:space="preserve">Formuleringen ser ut til å ramme både utleie av hele boligen og utleie av et rom i en bolig der utleieren bor samtidig med at rommet leies ut. Den siste formen for utleie bør ikke rammes av kravet om maks. </w:t>
            </w:r>
            <w:r w:rsidRPr="00D30240">
              <w:rPr>
                <w:sz w:val="24"/>
                <w:szCs w:val="24"/>
              </w:rPr>
              <w:t>60 dager utleie.</w:t>
            </w:r>
          </w:p>
        </w:tc>
      </w:tr>
    </w:tbl>
    <w:p w14:paraId="25A7D261" w14:textId="77777777" w:rsidR="00D30240" w:rsidRPr="00D30240" w:rsidRDefault="00D30240" w:rsidP="00D30240">
      <w:pPr>
        <w:spacing w:line="240" w:lineRule="auto"/>
        <w:rPr>
          <w:sz w:val="24"/>
          <w:szCs w:val="24"/>
        </w:rPr>
      </w:pPr>
    </w:p>
    <w:p w14:paraId="323E927B" w14:textId="77777777" w:rsidR="00D30240" w:rsidRPr="00D30240" w:rsidRDefault="00D30240" w:rsidP="00D30240">
      <w:pPr>
        <w:spacing w:line="240" w:lineRule="auto"/>
        <w:rPr>
          <w:sz w:val="24"/>
          <w:szCs w:val="24"/>
        </w:rPr>
      </w:pPr>
    </w:p>
    <w:p w14:paraId="258637DA" w14:textId="77777777" w:rsidR="00D30240" w:rsidRPr="00D30240" w:rsidRDefault="00D30240" w:rsidP="00D30240">
      <w:pPr>
        <w:spacing w:line="240" w:lineRule="auto"/>
      </w:pPr>
    </w:p>
    <w:p w14:paraId="29195E65" w14:textId="77777777" w:rsidR="00D30240" w:rsidRPr="00D30240" w:rsidRDefault="00D30240" w:rsidP="00D30240">
      <w:pPr>
        <w:spacing w:line="240" w:lineRule="auto"/>
      </w:pPr>
    </w:p>
    <w:p w14:paraId="4D470502" w14:textId="77777777" w:rsidR="00D30240" w:rsidRDefault="00D30240" w:rsidP="00D30240">
      <w:pPr>
        <w:rPr>
          <w:sz w:val="24"/>
          <w:szCs w:val="24"/>
          <w:lang w:val="nb-NO"/>
        </w:rPr>
      </w:pPr>
      <w:r w:rsidRPr="00D30240">
        <w:rPr>
          <w:i/>
          <w:sz w:val="24"/>
          <w:szCs w:val="24"/>
          <w:u w:val="single"/>
          <w:lang w:val="nb-NO"/>
        </w:rPr>
        <w:t>/end kap 23 Bolig</w:t>
      </w:r>
    </w:p>
    <w:p w14:paraId="38980009" w14:textId="77777777" w:rsidR="00D30240" w:rsidRDefault="00D30240" w:rsidP="00D30240">
      <w:pPr>
        <w:spacing w:line="240" w:lineRule="auto"/>
      </w:pPr>
    </w:p>
    <w:p w14:paraId="3A4618BC" w14:textId="77777777" w:rsidR="000F3DA4" w:rsidRDefault="000F3DA4"/>
    <w:sectPr w:rsidR="000F3DA4">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40"/>
    <w:rsid w:val="000E4FD9"/>
    <w:rsid w:val="000F3DA4"/>
    <w:rsid w:val="00277992"/>
    <w:rsid w:val="003501E8"/>
    <w:rsid w:val="004D0738"/>
    <w:rsid w:val="00D3024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0C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40"/>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30240"/>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40"/>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30240"/>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593</Words>
  <Characters>3144</Characters>
  <Application>Microsoft Macintosh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5</cp:revision>
  <dcterms:created xsi:type="dcterms:W3CDTF">2020-11-02T14:54:00Z</dcterms:created>
  <dcterms:modified xsi:type="dcterms:W3CDTF">2020-11-05T14:49:00Z</dcterms:modified>
</cp:coreProperties>
</file>