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D3DF" w14:textId="5C626039" w:rsidR="00B6764A" w:rsidRDefault="008F6C5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Kapittel 35 Internasjonal solidaritet</w:t>
      </w:r>
    </w:p>
    <w:p w14:paraId="27635E16" w14:textId="77777777" w:rsidR="00E4708D" w:rsidRPr="00563C30" w:rsidRDefault="00E4708D" w:rsidP="00E4708D">
      <w:pPr>
        <w:spacing w:line="240" w:lineRule="auto"/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Endelig oppdatert: 04</w:t>
      </w:r>
      <w:r w:rsidRPr="008C07DA">
        <w:rPr>
          <w:i/>
          <w:sz w:val="24"/>
          <w:szCs w:val="24"/>
          <w:lang w:val="nb-NO"/>
        </w:rPr>
        <w:t>.11.2020</w:t>
      </w:r>
    </w:p>
    <w:p w14:paraId="4A0AD85E" w14:textId="77777777" w:rsidR="00B6764A" w:rsidRDefault="00B6764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08F199B0" w14:textId="77777777" w:rsidR="008F6C59" w:rsidRDefault="008F6C59" w:rsidP="008F6C59">
      <w:pPr>
        <w:rPr>
          <w:b/>
          <w:i/>
          <w:sz w:val="24"/>
          <w:szCs w:val="24"/>
          <w:u w:val="single"/>
        </w:rPr>
      </w:pPr>
      <w:r w:rsidRPr="00EE1B30">
        <w:rPr>
          <w:b/>
          <w:i/>
          <w:sz w:val="24"/>
          <w:szCs w:val="24"/>
          <w:u w:val="single"/>
        </w:rPr>
        <w:t>Oversikt over forslag</w:t>
      </w:r>
      <w:r>
        <w:rPr>
          <w:b/>
          <w:i/>
          <w:sz w:val="24"/>
          <w:szCs w:val="24"/>
          <w:u w:val="single"/>
        </w:rPr>
        <w:t>ene til dette kapitlet</w:t>
      </w:r>
      <w:r w:rsidRPr="00EE1B30">
        <w:rPr>
          <w:b/>
          <w:i/>
          <w:sz w:val="24"/>
          <w:szCs w:val="24"/>
          <w:u w:val="single"/>
        </w:rPr>
        <w:t>:</w:t>
      </w:r>
    </w:p>
    <w:p w14:paraId="37A19C20" w14:textId="77777777" w:rsidR="008F6C59" w:rsidRDefault="008F6C59" w:rsidP="008F6C59">
      <w:pPr>
        <w:spacing w:line="240" w:lineRule="auto"/>
        <w:rPr>
          <w:b/>
          <w:sz w:val="24"/>
          <w:szCs w:val="24"/>
        </w:rPr>
      </w:pPr>
    </w:p>
    <w:p w14:paraId="4DEF5163" w14:textId="77777777" w:rsidR="008F6C59" w:rsidRDefault="008F6C59" w:rsidP="008F6C59">
      <w:pPr>
        <w:spacing w:line="240" w:lineRule="auto"/>
        <w:rPr>
          <w:b/>
          <w:sz w:val="24"/>
          <w:szCs w:val="24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43"/>
        <w:gridCol w:w="2693"/>
      </w:tblGrid>
      <w:tr w:rsidR="008F6C59" w:rsidRPr="00C7008B" w14:paraId="11398145" w14:textId="77777777" w:rsidTr="008F6C59">
        <w:tc>
          <w:tcPr>
            <w:tcW w:w="2376" w:type="dxa"/>
          </w:tcPr>
          <w:p w14:paraId="71123407" w14:textId="77777777" w:rsidR="008F6C59" w:rsidRPr="00200CBB" w:rsidRDefault="008F6C59" w:rsidP="008F6C59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200CBB">
              <w:rPr>
                <w:b/>
                <w:sz w:val="24"/>
                <w:szCs w:val="24"/>
                <w:lang w:val="nb-NO"/>
              </w:rPr>
              <w:t>Kapittel</w:t>
            </w:r>
          </w:p>
        </w:tc>
        <w:tc>
          <w:tcPr>
            <w:tcW w:w="2410" w:type="dxa"/>
          </w:tcPr>
          <w:p w14:paraId="6262F46A" w14:textId="77777777" w:rsidR="008F6C59" w:rsidRPr="00C7008B" w:rsidRDefault="008F6C59" w:rsidP="008F6C59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Punkt</w:t>
            </w:r>
          </w:p>
        </w:tc>
        <w:tc>
          <w:tcPr>
            <w:tcW w:w="1843" w:type="dxa"/>
          </w:tcPr>
          <w:p w14:paraId="09477ABA" w14:textId="77777777" w:rsidR="008F6C59" w:rsidRPr="00C7008B" w:rsidRDefault="008F6C59" w:rsidP="008F6C59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Linjenr</w:t>
            </w:r>
          </w:p>
        </w:tc>
        <w:tc>
          <w:tcPr>
            <w:tcW w:w="2693" w:type="dxa"/>
          </w:tcPr>
          <w:p w14:paraId="163BDA7C" w14:textId="77777777" w:rsidR="008F6C59" w:rsidRPr="00C7008B" w:rsidRDefault="008F6C59" w:rsidP="008F6C59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Type forslag</w:t>
            </w:r>
          </w:p>
        </w:tc>
      </w:tr>
      <w:tr w:rsidR="008F6C59" w:rsidRPr="00B628E2" w14:paraId="469450A4" w14:textId="77777777" w:rsidTr="008F6C59">
        <w:tc>
          <w:tcPr>
            <w:tcW w:w="2376" w:type="dxa"/>
          </w:tcPr>
          <w:p w14:paraId="6620ECB6" w14:textId="1A8E2AE6" w:rsidR="008F6C59" w:rsidRPr="00F935D8" w:rsidRDefault="008F6C59" w:rsidP="008F6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1825E83F" w14:textId="1F9226CC" w:rsidR="008F6C59" w:rsidRPr="00B628E2" w:rsidRDefault="008F6C59" w:rsidP="008F6C59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g)</w:t>
            </w:r>
          </w:p>
        </w:tc>
        <w:tc>
          <w:tcPr>
            <w:tcW w:w="1843" w:type="dxa"/>
          </w:tcPr>
          <w:p w14:paraId="014B8278" w14:textId="5C6FE826" w:rsidR="008F6C59" w:rsidRPr="00B628E2" w:rsidRDefault="008F6C59" w:rsidP="008F6C59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3154 – 3155</w:t>
            </w:r>
          </w:p>
        </w:tc>
        <w:tc>
          <w:tcPr>
            <w:tcW w:w="2693" w:type="dxa"/>
          </w:tcPr>
          <w:p w14:paraId="48D8F74E" w14:textId="4C29D418" w:rsidR="008F6C59" w:rsidRPr="00B628E2" w:rsidRDefault="008F6C59" w:rsidP="008F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Sletting/Nytt punkt</w:t>
            </w:r>
          </w:p>
        </w:tc>
      </w:tr>
      <w:tr w:rsidR="008F6C59" w14:paraId="26E2C7F9" w14:textId="77777777" w:rsidTr="008F6C59">
        <w:tc>
          <w:tcPr>
            <w:tcW w:w="2376" w:type="dxa"/>
          </w:tcPr>
          <w:p w14:paraId="29682DF6" w14:textId="77777777" w:rsidR="008F6C59" w:rsidRPr="00200CBB" w:rsidRDefault="008F6C59" w:rsidP="008F6C59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410" w:type="dxa"/>
          </w:tcPr>
          <w:p w14:paraId="1CB7EDF7" w14:textId="038EFD25" w:rsidR="008F6C59" w:rsidRDefault="008F6C59" w:rsidP="008F6C59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1843" w:type="dxa"/>
          </w:tcPr>
          <w:p w14:paraId="5730EE07" w14:textId="4418B971" w:rsidR="008F6C59" w:rsidRDefault="008F6C59" w:rsidP="008F6C59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693" w:type="dxa"/>
          </w:tcPr>
          <w:p w14:paraId="0B285F75" w14:textId="15F71CCE" w:rsidR="008F6C59" w:rsidRPr="00F935D8" w:rsidRDefault="008F6C59" w:rsidP="008F6C59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</w:tr>
    </w:tbl>
    <w:p w14:paraId="5A2271D4" w14:textId="77777777" w:rsidR="008F6C59" w:rsidRDefault="008F6C59" w:rsidP="008F6C59">
      <w:pPr>
        <w:spacing w:line="240" w:lineRule="auto"/>
        <w:rPr>
          <w:b/>
          <w:sz w:val="24"/>
          <w:szCs w:val="24"/>
        </w:rPr>
      </w:pPr>
    </w:p>
    <w:p w14:paraId="1D1B7D7F" w14:textId="77777777" w:rsidR="00B6764A" w:rsidRDefault="00B6764A">
      <w:pPr>
        <w:spacing w:line="240" w:lineRule="auto"/>
        <w:rPr>
          <w:b/>
          <w:i/>
          <w:color w:val="FF0000"/>
          <w:sz w:val="24"/>
          <w:szCs w:val="24"/>
        </w:rPr>
      </w:pPr>
    </w:p>
    <w:p w14:paraId="13D2B224" w14:textId="77777777" w:rsidR="00B6764A" w:rsidRDefault="00B6764A">
      <w:pPr>
        <w:spacing w:line="240" w:lineRule="auto"/>
        <w:rPr>
          <w:sz w:val="24"/>
          <w:szCs w:val="24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B6764A" w:rsidRPr="00E85BE5" w14:paraId="66B22C48" w14:textId="77777777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D5BD" w14:textId="46F2C1F1" w:rsidR="00B6764A" w:rsidRPr="00E85BE5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E85BE5">
              <w:rPr>
                <w:b/>
                <w:sz w:val="24"/>
                <w:szCs w:val="24"/>
              </w:rPr>
              <w:t xml:space="preserve">Type forslag: </w:t>
            </w:r>
            <w:r w:rsidR="00E85BE5" w:rsidRPr="00E85BE5">
              <w:rPr>
                <w:b/>
                <w:sz w:val="24"/>
                <w:szCs w:val="24"/>
              </w:rPr>
              <w:t>Sletting</w:t>
            </w:r>
            <w:r w:rsidR="00F52809" w:rsidRPr="00E85BE5">
              <w:rPr>
                <w:b/>
                <w:sz w:val="24"/>
                <w:szCs w:val="24"/>
              </w:rPr>
              <w:t>/</w:t>
            </w:r>
            <w:r w:rsidR="00E85BE5" w:rsidRPr="00E85BE5">
              <w:rPr>
                <w:b/>
                <w:sz w:val="24"/>
                <w:szCs w:val="24"/>
              </w:rPr>
              <w:t>Nytt punkt</w:t>
            </w:r>
          </w:p>
          <w:p w14:paraId="0EFC7227" w14:textId="330BE848" w:rsidR="00B6764A" w:rsidRPr="00E85BE5" w:rsidRDefault="007B169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5BE5">
              <w:rPr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0861" w14:textId="20C17CCE" w:rsidR="00D97625" w:rsidRPr="00E85BE5" w:rsidRDefault="007B1693" w:rsidP="00E37490">
            <w:pPr>
              <w:spacing w:line="240" w:lineRule="auto"/>
              <w:rPr>
                <w:b/>
                <w:sz w:val="24"/>
                <w:szCs w:val="24"/>
              </w:rPr>
            </w:pPr>
            <w:r w:rsidRPr="00E85BE5">
              <w:rPr>
                <w:b/>
                <w:sz w:val="24"/>
                <w:szCs w:val="24"/>
              </w:rPr>
              <w:t xml:space="preserve">Forslagsstiller: </w:t>
            </w:r>
            <w:r w:rsidR="00D97625" w:rsidRPr="00E85BE5">
              <w:rPr>
                <w:b/>
                <w:sz w:val="24"/>
                <w:szCs w:val="24"/>
              </w:rPr>
              <w:t>Claus Fischer</w:t>
            </w:r>
          </w:p>
        </w:tc>
      </w:tr>
      <w:tr w:rsidR="00B6764A" w14:paraId="28478FA8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A517" w14:textId="6CB26A04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Kapittel</w:t>
            </w:r>
            <w:r w:rsidR="007F6027">
              <w:rPr>
                <w:b/>
                <w:sz w:val="24"/>
                <w:szCs w:val="24"/>
              </w:rPr>
              <w:t xml:space="preserve"> 35 Internasjonal solidaritet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4283" w14:textId="503C4987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Underpunkt:</w:t>
            </w:r>
            <w:r w:rsidR="0057635A">
              <w:rPr>
                <w:b/>
                <w:sz w:val="24"/>
                <w:szCs w:val="24"/>
              </w:rPr>
              <w:t xml:space="preserve"> g</w:t>
            </w:r>
            <w:r w:rsidR="008F6C59">
              <w:rPr>
                <w:b/>
                <w:sz w:val="24"/>
                <w:szCs w:val="24"/>
              </w:rPr>
              <w:t>)</w:t>
            </w:r>
          </w:p>
        </w:tc>
      </w:tr>
      <w:tr w:rsidR="00B6764A" w14:paraId="5596879B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171" w14:textId="7F8C97CF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Linjenummer: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9BD8" w14:textId="61C56732" w:rsidR="00B6764A" w:rsidRDefault="005763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3154 </w:t>
            </w:r>
            <w:r w:rsidR="00C73E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73EEF">
              <w:rPr>
                <w:sz w:val="24"/>
                <w:szCs w:val="24"/>
              </w:rPr>
              <w:t>3155</w:t>
            </w:r>
          </w:p>
        </w:tc>
      </w:tr>
      <w:tr w:rsidR="00B6764A" w:rsidRPr="008F6C59" w14:paraId="4D6048C4" w14:textId="77777777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32DB" w14:textId="6A07228D" w:rsidR="00B6764A" w:rsidRPr="008F6C59" w:rsidRDefault="007B1693">
            <w:pPr>
              <w:spacing w:line="240" w:lineRule="auto"/>
              <w:rPr>
                <w:sz w:val="24"/>
                <w:szCs w:val="24"/>
              </w:rPr>
            </w:pPr>
            <w:r w:rsidRPr="008F6C59">
              <w:rPr>
                <w:b/>
                <w:sz w:val="24"/>
                <w:szCs w:val="24"/>
              </w:rPr>
              <w:t>Opprinnelig punkt:</w:t>
            </w:r>
            <w:r w:rsidRPr="008F6C59">
              <w:rPr>
                <w:sz w:val="24"/>
                <w:szCs w:val="24"/>
              </w:rPr>
              <w:t xml:space="preserve"> </w:t>
            </w:r>
            <w:r w:rsidR="00E85BE5" w:rsidRPr="008F6C59">
              <w:rPr>
                <w:sz w:val="24"/>
                <w:szCs w:val="24"/>
              </w:rPr>
              <w:t>(slettes)</w:t>
            </w:r>
          </w:p>
          <w:p w14:paraId="248CECAC" w14:textId="4A3583E0" w:rsidR="00B6764A" w:rsidRPr="008F6C59" w:rsidRDefault="0026216B">
            <w:pPr>
              <w:spacing w:line="240" w:lineRule="auto"/>
              <w:rPr>
                <w:sz w:val="24"/>
                <w:szCs w:val="24"/>
              </w:rPr>
            </w:pPr>
            <w:r w:rsidRPr="008F6C59">
              <w:rPr>
                <w:sz w:val="24"/>
                <w:szCs w:val="24"/>
              </w:rPr>
              <w:t xml:space="preserve">Å støtte det palestinske folkets kamp </w:t>
            </w:r>
            <w:r w:rsidR="00705A46" w:rsidRPr="008F6C59">
              <w:rPr>
                <w:sz w:val="24"/>
                <w:szCs w:val="24"/>
              </w:rPr>
              <w:t xml:space="preserve">og arbeide for økonomisk, </w:t>
            </w:r>
            <w:r w:rsidR="00A01429" w:rsidRPr="008F6C59">
              <w:rPr>
                <w:sz w:val="24"/>
                <w:szCs w:val="24"/>
              </w:rPr>
              <w:t>akademisk og kulturell boikott av Israel</w:t>
            </w:r>
            <w:r w:rsidR="00344F8E" w:rsidRPr="008F6C59">
              <w:rPr>
                <w:sz w:val="24"/>
                <w:szCs w:val="24"/>
              </w:rPr>
              <w:t xml:space="preserve">. Statlige og kommunale innkjøp </w:t>
            </w:r>
            <w:r w:rsidR="00BD5105" w:rsidRPr="008F6C59">
              <w:rPr>
                <w:sz w:val="24"/>
                <w:szCs w:val="24"/>
              </w:rPr>
              <w:t>må ikke skje fra områder under israelsk okkupasjon</w:t>
            </w:r>
            <w:r w:rsidR="00D579ED" w:rsidRPr="008F6C59">
              <w:rPr>
                <w:sz w:val="24"/>
                <w:szCs w:val="24"/>
              </w:rPr>
              <w:t>.</w:t>
            </w:r>
          </w:p>
        </w:tc>
      </w:tr>
      <w:tr w:rsidR="00B6764A" w14:paraId="40CB1C4D" w14:textId="77777777">
        <w:trPr>
          <w:trHeight w:val="160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F95" w14:textId="2EC5598F" w:rsidR="00B6764A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Nytt punkt</w:t>
            </w:r>
            <w:r w:rsidR="00E85BE5">
              <w:rPr>
                <w:b/>
                <w:sz w:val="24"/>
                <w:szCs w:val="24"/>
              </w:rPr>
              <w:t>/erstatter gammelt punkt g)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3EC1794E" w14:textId="67948EDF" w:rsidR="00453751" w:rsidRDefault="003310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</w:t>
            </w:r>
            <w:r w:rsidR="00C3636D">
              <w:rPr>
                <w:sz w:val="24"/>
                <w:szCs w:val="24"/>
              </w:rPr>
              <w:t xml:space="preserve"> er </w:t>
            </w:r>
            <w:r w:rsidR="002427DD">
              <w:rPr>
                <w:sz w:val="24"/>
                <w:szCs w:val="24"/>
              </w:rPr>
              <w:t xml:space="preserve">ét av </w:t>
            </w:r>
            <w:r w:rsidR="00BF1047">
              <w:rPr>
                <w:sz w:val="24"/>
                <w:szCs w:val="24"/>
              </w:rPr>
              <w:t>de land</w:t>
            </w:r>
            <w:r w:rsidR="002427DD">
              <w:rPr>
                <w:sz w:val="24"/>
                <w:szCs w:val="24"/>
              </w:rPr>
              <w:t xml:space="preserve"> </w:t>
            </w:r>
            <w:r w:rsidR="005D5AE0">
              <w:rPr>
                <w:sz w:val="24"/>
                <w:szCs w:val="24"/>
              </w:rPr>
              <w:t xml:space="preserve">i </w:t>
            </w:r>
            <w:r w:rsidR="002427DD">
              <w:rPr>
                <w:sz w:val="24"/>
                <w:szCs w:val="24"/>
              </w:rPr>
              <w:t xml:space="preserve">verden som mest systematisk </w:t>
            </w:r>
            <w:r w:rsidR="00555328">
              <w:rPr>
                <w:sz w:val="24"/>
                <w:szCs w:val="24"/>
              </w:rPr>
              <w:t xml:space="preserve">utfører apartheid, og </w:t>
            </w:r>
            <w:r w:rsidR="00AF554F">
              <w:rPr>
                <w:sz w:val="24"/>
                <w:szCs w:val="24"/>
              </w:rPr>
              <w:t xml:space="preserve">er nå kalt ‘det eneste landet i verden som </w:t>
            </w:r>
            <w:r w:rsidR="00963C2C">
              <w:rPr>
                <w:sz w:val="24"/>
                <w:szCs w:val="24"/>
              </w:rPr>
              <w:t>driver med systematisk fengsling</w:t>
            </w:r>
            <w:r w:rsidR="002C5627">
              <w:rPr>
                <w:sz w:val="24"/>
                <w:szCs w:val="24"/>
              </w:rPr>
              <w:t xml:space="preserve"> og mishandling av barn/ungdom</w:t>
            </w:r>
            <w:r w:rsidR="007E7933">
              <w:rPr>
                <w:sz w:val="24"/>
                <w:szCs w:val="24"/>
              </w:rPr>
              <w:t xml:space="preserve">’. </w:t>
            </w:r>
            <w:r w:rsidR="004E6858">
              <w:rPr>
                <w:sz w:val="24"/>
                <w:szCs w:val="24"/>
              </w:rPr>
              <w:t xml:space="preserve">Rødt vil jobbe for å </w:t>
            </w:r>
            <w:r w:rsidR="00BF1047">
              <w:rPr>
                <w:sz w:val="24"/>
                <w:szCs w:val="24"/>
              </w:rPr>
              <w:t>gore</w:t>
            </w:r>
            <w:r w:rsidR="008C4BBE">
              <w:rPr>
                <w:sz w:val="24"/>
                <w:szCs w:val="24"/>
              </w:rPr>
              <w:t xml:space="preserve"> </w:t>
            </w:r>
            <w:r w:rsidR="00041D15">
              <w:rPr>
                <w:sz w:val="24"/>
                <w:szCs w:val="24"/>
              </w:rPr>
              <w:t>arbeidet</w:t>
            </w:r>
            <w:r w:rsidR="00533F5E">
              <w:rPr>
                <w:sz w:val="24"/>
                <w:szCs w:val="24"/>
              </w:rPr>
              <w:t xml:space="preserve"> </w:t>
            </w:r>
            <w:r w:rsidR="00041D15">
              <w:rPr>
                <w:sz w:val="24"/>
                <w:szCs w:val="24"/>
              </w:rPr>
              <w:t>for økonomisk, akademisk og kulturell</w:t>
            </w:r>
            <w:r w:rsidR="0091457D">
              <w:rPr>
                <w:sz w:val="24"/>
                <w:szCs w:val="24"/>
              </w:rPr>
              <w:t xml:space="preserve"> boikott (</w:t>
            </w:r>
            <w:r w:rsidR="008C4BBE">
              <w:rPr>
                <w:sz w:val="24"/>
                <w:szCs w:val="24"/>
              </w:rPr>
              <w:t>BDS</w:t>
            </w:r>
            <w:r w:rsidR="0091457D">
              <w:rPr>
                <w:sz w:val="24"/>
                <w:szCs w:val="24"/>
              </w:rPr>
              <w:t>-kampanjen) mer effektiv</w:t>
            </w:r>
            <w:r w:rsidR="00453751">
              <w:rPr>
                <w:sz w:val="24"/>
                <w:szCs w:val="24"/>
              </w:rPr>
              <w:t xml:space="preserve">. Rødt </w:t>
            </w:r>
            <w:r w:rsidR="00FE1953">
              <w:rPr>
                <w:sz w:val="24"/>
                <w:szCs w:val="24"/>
              </w:rPr>
              <w:t xml:space="preserve">vil </w:t>
            </w:r>
            <w:r w:rsidR="004F0416">
              <w:rPr>
                <w:sz w:val="24"/>
                <w:szCs w:val="24"/>
              </w:rPr>
              <w:t xml:space="preserve">i </w:t>
            </w:r>
            <w:r w:rsidR="00FE1953">
              <w:rPr>
                <w:sz w:val="24"/>
                <w:szCs w:val="24"/>
              </w:rPr>
              <w:t>tillegg</w:t>
            </w:r>
            <w:r w:rsidR="004F0416">
              <w:rPr>
                <w:sz w:val="24"/>
                <w:szCs w:val="24"/>
              </w:rPr>
              <w:t xml:space="preserve"> jobbe for at palestinernes situasjon og stemme løftes høyere </w:t>
            </w:r>
            <w:r w:rsidR="00D21811">
              <w:rPr>
                <w:sz w:val="24"/>
                <w:szCs w:val="24"/>
              </w:rPr>
              <w:t xml:space="preserve">opp </w:t>
            </w:r>
            <w:r w:rsidR="00861937">
              <w:rPr>
                <w:sz w:val="24"/>
                <w:szCs w:val="24"/>
              </w:rPr>
              <w:t xml:space="preserve">i </w:t>
            </w:r>
            <w:r w:rsidR="00D21811">
              <w:rPr>
                <w:sz w:val="24"/>
                <w:szCs w:val="24"/>
              </w:rPr>
              <w:t>den internasjonale offe</w:t>
            </w:r>
            <w:r w:rsidR="00D4243E">
              <w:rPr>
                <w:sz w:val="24"/>
                <w:szCs w:val="24"/>
              </w:rPr>
              <w:t>ntlighet.</w:t>
            </w:r>
          </w:p>
          <w:p w14:paraId="2D3EE2DF" w14:textId="77777777" w:rsidR="007E7933" w:rsidRDefault="00D424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Statlige og kommunale innkjøp </w:t>
            </w:r>
            <w:r w:rsidR="003B61F2">
              <w:rPr>
                <w:sz w:val="24"/>
                <w:szCs w:val="24"/>
              </w:rPr>
              <w:t>må ikke skje fra områder under israelsk okkupasjon.</w:t>
            </w:r>
          </w:p>
          <w:p w14:paraId="4DC95B94" w14:textId="3EDD91FF" w:rsidR="00E37490" w:rsidRDefault="00E3749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64A" w14:paraId="62A79078" w14:textId="77777777">
        <w:trPr>
          <w:trHeight w:val="2190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9E2" w14:textId="77777777" w:rsidR="00B6764A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Begrunnelse:</w:t>
            </w:r>
          </w:p>
          <w:p w14:paraId="40D2BFE3" w14:textId="2AFD902A" w:rsidR="002F6474" w:rsidRDefault="002F647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Overgrepene</w:t>
            </w:r>
            <w:r w:rsidR="00BA28EA">
              <w:rPr>
                <w:bCs/>
                <w:sz w:val="24"/>
                <w:szCs w:val="24"/>
              </w:rPr>
              <w:t xml:space="preserve"> som har skjedd mot palestinerne</w:t>
            </w:r>
            <w:r w:rsidR="00E637F9">
              <w:rPr>
                <w:bCs/>
                <w:sz w:val="24"/>
                <w:szCs w:val="24"/>
              </w:rPr>
              <w:t xml:space="preserve"> siden Naqbaen </w:t>
            </w:r>
            <w:r w:rsidR="00E353EB">
              <w:rPr>
                <w:bCs/>
                <w:sz w:val="24"/>
                <w:szCs w:val="24"/>
              </w:rPr>
              <w:t xml:space="preserve">(fordrivingen) I 1948 </w:t>
            </w:r>
            <w:r w:rsidR="005C1B6B">
              <w:rPr>
                <w:bCs/>
                <w:sz w:val="24"/>
                <w:szCs w:val="24"/>
              </w:rPr>
              <w:t xml:space="preserve">har resultert I utallige resolusjoner fra verdenssamfunnet, bla. </w:t>
            </w:r>
            <w:r w:rsidR="00A37F88">
              <w:rPr>
                <w:bCs/>
                <w:sz w:val="24"/>
                <w:szCs w:val="24"/>
              </w:rPr>
              <w:t xml:space="preserve">fra FN. </w:t>
            </w:r>
            <w:r w:rsidR="005F57FF">
              <w:rPr>
                <w:bCs/>
                <w:sz w:val="24"/>
                <w:szCs w:val="24"/>
              </w:rPr>
              <w:t>Utrolig nok har de ikke medført noen begrensning på Isra</w:t>
            </w:r>
            <w:r w:rsidR="00663FFC">
              <w:rPr>
                <w:bCs/>
                <w:sz w:val="24"/>
                <w:szCs w:val="24"/>
              </w:rPr>
              <w:t>els iverksettelse av Eretz Israel</w:t>
            </w:r>
            <w:r w:rsidR="00726771">
              <w:rPr>
                <w:bCs/>
                <w:sz w:val="24"/>
                <w:szCs w:val="24"/>
              </w:rPr>
              <w:t>, som er iverksettelsen av et Storisrael, og som betyr kontinuerlig</w:t>
            </w:r>
            <w:r w:rsidR="00101B92">
              <w:rPr>
                <w:bCs/>
                <w:sz w:val="24"/>
                <w:szCs w:val="24"/>
              </w:rPr>
              <w:t xml:space="preserve">e </w:t>
            </w:r>
            <w:r w:rsidR="00726771">
              <w:rPr>
                <w:bCs/>
                <w:sz w:val="24"/>
                <w:szCs w:val="24"/>
              </w:rPr>
              <w:t>erobring</w:t>
            </w:r>
            <w:r w:rsidR="00101B92">
              <w:rPr>
                <w:bCs/>
                <w:sz w:val="24"/>
                <w:szCs w:val="24"/>
              </w:rPr>
              <w:t>er i de omliggende landområder</w:t>
            </w:r>
            <w:r w:rsidR="003B7E30">
              <w:rPr>
                <w:bCs/>
                <w:sz w:val="24"/>
                <w:szCs w:val="24"/>
              </w:rPr>
              <w:t xml:space="preserve">. I det siste har Israel trappet </w:t>
            </w:r>
            <w:r w:rsidR="004C4165">
              <w:rPr>
                <w:bCs/>
                <w:sz w:val="24"/>
                <w:szCs w:val="24"/>
              </w:rPr>
              <w:t xml:space="preserve">opp bygging av nye bosettinger på Vestbredden og </w:t>
            </w:r>
            <w:r w:rsidR="005266BE">
              <w:rPr>
                <w:bCs/>
                <w:sz w:val="24"/>
                <w:szCs w:val="24"/>
              </w:rPr>
              <w:t xml:space="preserve">i </w:t>
            </w:r>
            <w:r w:rsidR="004C4165">
              <w:rPr>
                <w:bCs/>
                <w:sz w:val="24"/>
                <w:szCs w:val="24"/>
              </w:rPr>
              <w:t>Ghaza</w:t>
            </w:r>
            <w:r w:rsidR="005266BE">
              <w:rPr>
                <w:bCs/>
                <w:sz w:val="24"/>
                <w:szCs w:val="24"/>
              </w:rPr>
              <w:t>, omtrent uten at verdenssamfunnet reagerer.</w:t>
            </w:r>
            <w:r w:rsidR="005170A0">
              <w:rPr>
                <w:bCs/>
                <w:sz w:val="24"/>
                <w:szCs w:val="24"/>
              </w:rPr>
              <w:t xml:space="preserve"> Disse bosettingene betyr okkupasjon = </w:t>
            </w:r>
            <w:r w:rsidR="009A3E7D">
              <w:rPr>
                <w:bCs/>
                <w:sz w:val="24"/>
                <w:szCs w:val="24"/>
              </w:rPr>
              <w:t xml:space="preserve">fjerning av hus og fordriving av palestinerne som bodde der før. </w:t>
            </w:r>
          </w:p>
          <w:p w14:paraId="49F8A38F" w14:textId="021103A4" w:rsidR="00101B92" w:rsidRPr="002F6474" w:rsidRDefault="0024021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</w:t>
            </w:r>
            <w:r w:rsidR="001F1B8E">
              <w:rPr>
                <w:bCs/>
                <w:sz w:val="24"/>
                <w:szCs w:val="24"/>
              </w:rPr>
              <w:t>g</w:t>
            </w:r>
            <w:r>
              <w:rPr>
                <w:bCs/>
                <w:sz w:val="24"/>
                <w:szCs w:val="24"/>
              </w:rPr>
              <w:t xml:space="preserve"> mener Rødt må gå </w:t>
            </w:r>
            <w:r w:rsidR="00D151CA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 xml:space="preserve">spissen for å </w:t>
            </w:r>
            <w:r w:rsidR="00D151CA">
              <w:rPr>
                <w:bCs/>
                <w:sz w:val="24"/>
                <w:szCs w:val="24"/>
              </w:rPr>
              <w:t>gi disse massive overgrepene den</w:t>
            </w:r>
            <w:r w:rsidR="005E4ACB">
              <w:rPr>
                <w:bCs/>
                <w:sz w:val="24"/>
                <w:szCs w:val="24"/>
              </w:rPr>
              <w:t xml:space="preserve"> </w:t>
            </w:r>
            <w:r w:rsidR="00755C0C">
              <w:rPr>
                <w:bCs/>
                <w:sz w:val="24"/>
                <w:szCs w:val="24"/>
              </w:rPr>
              <w:t>fordømmelsen de fortjener</w:t>
            </w:r>
            <w:r w:rsidR="007A7A2C">
              <w:rPr>
                <w:bCs/>
                <w:sz w:val="24"/>
                <w:szCs w:val="24"/>
              </w:rPr>
              <w:t>, de må høyere opp på dagsordenen.</w:t>
            </w:r>
          </w:p>
        </w:tc>
      </w:tr>
    </w:tbl>
    <w:p w14:paraId="515E3E88" w14:textId="77777777" w:rsidR="00B6764A" w:rsidRDefault="00B6764A">
      <w:pPr>
        <w:spacing w:line="240" w:lineRule="auto"/>
        <w:rPr>
          <w:sz w:val="24"/>
          <w:szCs w:val="24"/>
        </w:rPr>
      </w:pPr>
    </w:p>
    <w:p w14:paraId="2791D9AC" w14:textId="77777777" w:rsidR="00B6764A" w:rsidRDefault="00B6764A">
      <w:pPr>
        <w:spacing w:line="240" w:lineRule="auto"/>
        <w:rPr>
          <w:sz w:val="24"/>
          <w:szCs w:val="24"/>
        </w:rPr>
      </w:pPr>
    </w:p>
    <w:p w14:paraId="174A0F1F" w14:textId="2E95F71B" w:rsidR="008F6C59" w:rsidRPr="00F25FD4" w:rsidRDefault="008F6C59" w:rsidP="008F6C59">
      <w:pPr>
        <w:rPr>
          <w:sz w:val="20"/>
          <w:szCs w:val="20"/>
          <w:lang w:val="nb-NO"/>
        </w:rPr>
      </w:pPr>
      <w:r w:rsidRPr="00F25FD4">
        <w:rPr>
          <w:i/>
          <w:sz w:val="20"/>
          <w:szCs w:val="20"/>
          <w:u w:val="single"/>
          <w:lang w:val="nb-NO"/>
        </w:rPr>
        <w:t>/end kap 35 Internasjonal solidaritet</w:t>
      </w:r>
    </w:p>
    <w:p w14:paraId="134153D5" w14:textId="77777777" w:rsidR="00B6764A" w:rsidRDefault="00B6764A"/>
    <w:sectPr w:rsidR="00B6764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764A"/>
    <w:rsid w:val="00041D15"/>
    <w:rsid w:val="00101B92"/>
    <w:rsid w:val="00125D33"/>
    <w:rsid w:val="0014741D"/>
    <w:rsid w:val="001A757D"/>
    <w:rsid w:val="001F1B8E"/>
    <w:rsid w:val="00240214"/>
    <w:rsid w:val="002427DD"/>
    <w:rsid w:val="0026216B"/>
    <w:rsid w:val="002C5627"/>
    <w:rsid w:val="002F1AEC"/>
    <w:rsid w:val="002F6474"/>
    <w:rsid w:val="00307D6A"/>
    <w:rsid w:val="0033102C"/>
    <w:rsid w:val="00344F8E"/>
    <w:rsid w:val="0038557A"/>
    <w:rsid w:val="00395F22"/>
    <w:rsid w:val="003A5C36"/>
    <w:rsid w:val="003B61F2"/>
    <w:rsid w:val="003B7E30"/>
    <w:rsid w:val="00453751"/>
    <w:rsid w:val="004C4165"/>
    <w:rsid w:val="004E6858"/>
    <w:rsid w:val="004E68F4"/>
    <w:rsid w:val="004F0416"/>
    <w:rsid w:val="005170A0"/>
    <w:rsid w:val="005266BE"/>
    <w:rsid w:val="00533F5E"/>
    <w:rsid w:val="00555328"/>
    <w:rsid w:val="0057635A"/>
    <w:rsid w:val="005C1B6B"/>
    <w:rsid w:val="005D5AE0"/>
    <w:rsid w:val="005E4ACB"/>
    <w:rsid w:val="005F57FF"/>
    <w:rsid w:val="006329B6"/>
    <w:rsid w:val="00663FFC"/>
    <w:rsid w:val="00677377"/>
    <w:rsid w:val="00705A46"/>
    <w:rsid w:val="00726771"/>
    <w:rsid w:val="00740E16"/>
    <w:rsid w:val="00755C0C"/>
    <w:rsid w:val="007A7A2C"/>
    <w:rsid w:val="007B1693"/>
    <w:rsid w:val="007E7933"/>
    <w:rsid w:val="007F6027"/>
    <w:rsid w:val="00861937"/>
    <w:rsid w:val="008C4BBE"/>
    <w:rsid w:val="008F6C59"/>
    <w:rsid w:val="0091457D"/>
    <w:rsid w:val="00963C2C"/>
    <w:rsid w:val="009A3E7D"/>
    <w:rsid w:val="00A01429"/>
    <w:rsid w:val="00A27ADC"/>
    <w:rsid w:val="00A37F88"/>
    <w:rsid w:val="00AD1CAA"/>
    <w:rsid w:val="00AF554F"/>
    <w:rsid w:val="00B052E6"/>
    <w:rsid w:val="00B1600A"/>
    <w:rsid w:val="00B6338D"/>
    <w:rsid w:val="00B6764A"/>
    <w:rsid w:val="00BA28EA"/>
    <w:rsid w:val="00BD5105"/>
    <w:rsid w:val="00BF1047"/>
    <w:rsid w:val="00BF1D0F"/>
    <w:rsid w:val="00C3636D"/>
    <w:rsid w:val="00C73EEF"/>
    <w:rsid w:val="00D151CA"/>
    <w:rsid w:val="00D21811"/>
    <w:rsid w:val="00D4243E"/>
    <w:rsid w:val="00D579ED"/>
    <w:rsid w:val="00D7483E"/>
    <w:rsid w:val="00D97625"/>
    <w:rsid w:val="00E353EB"/>
    <w:rsid w:val="00E37490"/>
    <w:rsid w:val="00E4708D"/>
    <w:rsid w:val="00E637F9"/>
    <w:rsid w:val="00E85BE5"/>
    <w:rsid w:val="00EA6AB7"/>
    <w:rsid w:val="00EF69B0"/>
    <w:rsid w:val="00F10C57"/>
    <w:rsid w:val="00F11440"/>
    <w:rsid w:val="00F25FD4"/>
    <w:rsid w:val="00F52809"/>
    <w:rsid w:val="00FD01C3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D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8F6C59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8F6C59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TWszW5X5moTtdby/pwiKgQPvQ==">AMUW2mXbds3JKYl2DpexNykrB3zIkhWoTTcXtzdQCGMRaaxz+IZnCxcMf1nJYA0rvjYFmc5a/XNZtKEQeT/ArWmR5/yagmlEeThDA9j3ICykV4Et2lEwJEBp1A52OrGrYMuz5QPcLfHe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KariFair</cp:lastModifiedBy>
  <cp:revision>5</cp:revision>
  <dcterms:created xsi:type="dcterms:W3CDTF">2020-11-03T16:00:00Z</dcterms:created>
  <dcterms:modified xsi:type="dcterms:W3CDTF">2020-11-05T14:50:00Z</dcterms:modified>
</cp:coreProperties>
</file>